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38B508" w14:textId="77777777" w:rsidR="00E010EC" w:rsidRPr="00E010EC" w:rsidRDefault="00E010EC" w:rsidP="00E010EC">
      <w:pPr>
        <w:shd w:val="clear" w:color="auto" w:fill="FFFFFF"/>
        <w:spacing w:before="100" w:beforeAutospacing="1" w:after="100" w:afterAutospacing="1" w:line="288" w:lineRule="atLeast"/>
        <w:outlineLvl w:val="4"/>
        <w:rPr>
          <w:rFonts w:ascii="Arial" w:eastAsia="Times New Roman" w:hAnsi="Arial" w:cs="Arial"/>
          <w:b/>
          <w:bCs/>
          <w:color w:val="3A3A3A"/>
          <w:sz w:val="20"/>
          <w:szCs w:val="20"/>
          <w:lang w:eastAsia="en-GB"/>
        </w:rPr>
      </w:pPr>
      <w:r w:rsidRPr="00E010EC">
        <w:rPr>
          <w:rFonts w:ascii="Arial" w:eastAsia="Times New Roman" w:hAnsi="Arial" w:cs="Arial"/>
          <w:color w:val="3A3A3A"/>
          <w:sz w:val="20"/>
          <w:szCs w:val="20"/>
          <w:lang w:eastAsia="en-GB"/>
        </w:rPr>
        <w:t>George Davies-</w:t>
      </w:r>
      <w:proofErr w:type="spellStart"/>
      <w:r w:rsidRPr="00E010EC">
        <w:rPr>
          <w:rFonts w:ascii="Arial" w:eastAsia="Times New Roman" w:hAnsi="Arial" w:cs="Arial"/>
          <w:color w:val="3A3A3A"/>
          <w:sz w:val="20"/>
          <w:szCs w:val="20"/>
          <w:lang w:eastAsia="en-GB"/>
        </w:rPr>
        <w:t>Craine</w:t>
      </w:r>
      <w:proofErr w:type="spellEnd"/>
      <w:r w:rsidRPr="00E010EC">
        <w:rPr>
          <w:rFonts w:ascii="Arial" w:eastAsia="Times New Roman" w:hAnsi="Arial" w:cs="Arial"/>
          <w:color w:val="3A3A3A"/>
          <w:sz w:val="20"/>
          <w:szCs w:val="20"/>
          <w:lang w:eastAsia="en-GB"/>
        </w:rPr>
        <w:t>, Subject Leader for Geography and Digital Learning Lead, Dr Challoner’s Grammar School, UK</w:t>
      </w:r>
    </w:p>
    <w:p w14:paraId="0285A6A3" w14:textId="77777777" w:rsidR="00E010EC" w:rsidRPr="00E010EC" w:rsidRDefault="00E010EC" w:rsidP="00E010EC">
      <w:pPr>
        <w:shd w:val="clear" w:color="auto" w:fill="FFFFFF"/>
        <w:spacing w:before="100" w:beforeAutospacing="1" w:after="100" w:afterAutospacing="1" w:line="504" w:lineRule="atLeast"/>
        <w:outlineLvl w:val="2"/>
        <w:rPr>
          <w:rFonts w:ascii="Arial" w:eastAsia="Times New Roman" w:hAnsi="Arial" w:cs="Arial"/>
          <w:b/>
          <w:bCs/>
          <w:color w:val="3A3A3A"/>
          <w:sz w:val="27"/>
          <w:szCs w:val="27"/>
          <w:lang w:eastAsia="en-GB"/>
        </w:rPr>
      </w:pPr>
      <w:r w:rsidRPr="00E010EC">
        <w:rPr>
          <w:rFonts w:ascii="Arial" w:eastAsia="Times New Roman" w:hAnsi="Arial" w:cs="Arial"/>
          <w:b/>
          <w:bCs/>
          <w:color w:val="3A3A3A"/>
          <w:sz w:val="27"/>
          <w:szCs w:val="27"/>
          <w:lang w:eastAsia="en-GB"/>
        </w:rPr>
        <w:t>Learning and revision: An introduction</w:t>
      </w:r>
    </w:p>
    <w:p w14:paraId="5C566D91"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lang w:eastAsia="en-GB"/>
        </w:rPr>
      </w:pPr>
      <w:hyperlink r:id="rId8" w:tgtFrame="_blank" w:history="1">
        <w:r w:rsidRPr="00E010EC">
          <w:rPr>
            <w:rFonts w:ascii="Arial" w:eastAsia="Times New Roman" w:hAnsi="Arial" w:cs="Arial"/>
            <w:b/>
            <w:bCs/>
            <w:color w:val="CC3366"/>
            <w:sz w:val="21"/>
            <w:szCs w:val="21"/>
            <w:u w:val="single"/>
            <w:lang w:eastAsia="en-GB"/>
          </w:rPr>
          <w:t>Cognitive science</w:t>
        </w:r>
      </w:hyperlink>
      <w:r w:rsidRPr="00E010EC">
        <w:rPr>
          <w:rFonts w:ascii="Arial" w:eastAsia="Times New Roman" w:hAnsi="Arial" w:cs="Arial"/>
          <w:color w:val="3A3A3A"/>
          <w:sz w:val="21"/>
          <w:szCs w:val="21"/>
          <w:lang w:eastAsia="en-GB"/>
        </w:rPr>
        <w:t xml:space="preserve"> has shown that regular </w:t>
      </w:r>
      <w:r w:rsidRPr="00E010EC">
        <w:rPr>
          <w:rFonts w:ascii="Arial" w:eastAsia="Times New Roman" w:hAnsi="Arial" w:cs="Arial"/>
          <w:b/>
          <w:color w:val="3A3A3A"/>
          <w:sz w:val="21"/>
          <w:szCs w:val="21"/>
          <w:highlight w:val="yellow"/>
          <w:lang w:eastAsia="en-GB"/>
        </w:rPr>
        <w:t>testing of students’ knowledge is one of the most effective methods of learning and revising material for assessments</w:t>
      </w:r>
      <w:r w:rsidRPr="00E010EC">
        <w:rPr>
          <w:rFonts w:ascii="Arial" w:eastAsia="Times New Roman" w:hAnsi="Arial" w:cs="Arial"/>
          <w:color w:val="3A3A3A"/>
          <w:sz w:val="21"/>
          <w:szCs w:val="21"/>
          <w:lang w:eastAsia="en-GB"/>
        </w:rPr>
        <w:t xml:space="preserve"> (</w:t>
      </w:r>
      <w:proofErr w:type="spellStart"/>
      <w:r w:rsidRPr="00E010EC">
        <w:rPr>
          <w:rFonts w:ascii="Arial" w:eastAsia="Times New Roman" w:hAnsi="Arial" w:cs="Arial"/>
          <w:color w:val="3A3A3A"/>
          <w:sz w:val="21"/>
          <w:szCs w:val="21"/>
          <w:lang w:eastAsia="en-GB"/>
        </w:rPr>
        <w:t>Dehaene</w:t>
      </w:r>
      <w:proofErr w:type="spellEnd"/>
      <w:r w:rsidRPr="00E010EC">
        <w:rPr>
          <w:rFonts w:ascii="Arial" w:eastAsia="Times New Roman" w:hAnsi="Arial" w:cs="Arial"/>
          <w:color w:val="3A3A3A"/>
          <w:sz w:val="21"/>
          <w:szCs w:val="21"/>
          <w:lang w:eastAsia="en-GB"/>
        </w:rPr>
        <w:t xml:space="preserve">, 2020; </w:t>
      </w:r>
      <w:proofErr w:type="spellStart"/>
      <w:r w:rsidRPr="00E010EC">
        <w:rPr>
          <w:rFonts w:ascii="Arial" w:eastAsia="Times New Roman" w:hAnsi="Arial" w:cs="Arial"/>
          <w:color w:val="3A3A3A"/>
          <w:sz w:val="21"/>
          <w:szCs w:val="21"/>
          <w:lang w:eastAsia="en-GB"/>
        </w:rPr>
        <w:t>Dunlosky</w:t>
      </w:r>
      <w:proofErr w:type="spellEnd"/>
      <w:r w:rsidRPr="00E010EC">
        <w:rPr>
          <w:rFonts w:ascii="Arial" w:eastAsia="Times New Roman" w:hAnsi="Arial" w:cs="Arial"/>
          <w:color w:val="3A3A3A"/>
          <w:sz w:val="21"/>
          <w:szCs w:val="21"/>
          <w:lang w:eastAsia="en-GB"/>
        </w:rPr>
        <w:t xml:space="preserve"> et al., 2015). While the process of revising is retrieving information from memory and checking understanding (Jones, 2019), there is a variety of alternative revision techniques for students, such as summarising and mnemonics, yet only some support deep, long-term learning and understanding of material.</w:t>
      </w:r>
    </w:p>
    <w:p w14:paraId="7AB62FE9"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lang w:eastAsia="en-GB"/>
        </w:rPr>
      </w:pPr>
      <w:r w:rsidRPr="00E010EC">
        <w:rPr>
          <w:rFonts w:ascii="Arial" w:eastAsia="Times New Roman" w:hAnsi="Arial" w:cs="Arial"/>
          <w:color w:val="3A3A3A"/>
          <w:sz w:val="21"/>
          <w:szCs w:val="21"/>
          <w:lang w:eastAsia="en-GB"/>
        </w:rPr>
        <w:t xml:space="preserve">Brown et al. (2014) argue that learning information requires not only for it to be recalled, but also for it to be understood in relation to other information. </w:t>
      </w:r>
      <w:proofErr w:type="spellStart"/>
      <w:r w:rsidRPr="00E010EC">
        <w:rPr>
          <w:rFonts w:ascii="Arial" w:eastAsia="Times New Roman" w:hAnsi="Arial" w:cs="Arial"/>
          <w:color w:val="3A3A3A"/>
          <w:sz w:val="21"/>
          <w:szCs w:val="21"/>
          <w:lang w:eastAsia="en-GB"/>
        </w:rPr>
        <w:t>Dehane</w:t>
      </w:r>
      <w:proofErr w:type="spellEnd"/>
      <w:r w:rsidRPr="00E010EC">
        <w:rPr>
          <w:rFonts w:ascii="Arial" w:eastAsia="Times New Roman" w:hAnsi="Arial" w:cs="Arial"/>
          <w:color w:val="3A3A3A"/>
          <w:sz w:val="21"/>
          <w:szCs w:val="21"/>
          <w:lang w:eastAsia="en-GB"/>
        </w:rPr>
        <w:t xml:space="preserve"> argues that ‘learn[</w:t>
      </w:r>
      <w:proofErr w:type="spellStart"/>
      <w:r w:rsidRPr="00E010EC">
        <w:rPr>
          <w:rFonts w:ascii="Arial" w:eastAsia="Times New Roman" w:hAnsi="Arial" w:cs="Arial"/>
          <w:color w:val="3A3A3A"/>
          <w:sz w:val="21"/>
          <w:szCs w:val="21"/>
          <w:lang w:eastAsia="en-GB"/>
        </w:rPr>
        <w:t>ing</w:t>
      </w:r>
      <w:proofErr w:type="spellEnd"/>
      <w:r w:rsidRPr="00E010EC">
        <w:rPr>
          <w:rFonts w:ascii="Arial" w:eastAsia="Times New Roman" w:hAnsi="Arial" w:cs="Arial"/>
          <w:color w:val="3A3A3A"/>
          <w:sz w:val="21"/>
          <w:szCs w:val="21"/>
          <w:lang w:eastAsia="en-GB"/>
        </w:rPr>
        <w:t>] is to form an internal model of the external world’ (2020, p. 5); over time, we adjust our internal model in relation to new information, reducing the number of errors that we make, which are vital for learning. To form this ‘internal model’, we take in ‘facts’ and ‘knowledge’, such as ‘the sky is blue’. Learning goes </w:t>
      </w:r>
      <w:r w:rsidRPr="00E010EC">
        <w:rPr>
          <w:rFonts w:ascii="Arial" w:eastAsia="Times New Roman" w:hAnsi="Arial" w:cs="Arial"/>
          <w:i/>
          <w:iCs/>
          <w:color w:val="3A3A3A"/>
          <w:sz w:val="21"/>
          <w:szCs w:val="21"/>
          <w:lang w:eastAsia="en-GB"/>
        </w:rPr>
        <w:t>beyond</w:t>
      </w:r>
      <w:r w:rsidRPr="00E010EC">
        <w:rPr>
          <w:rFonts w:ascii="Arial" w:eastAsia="Times New Roman" w:hAnsi="Arial" w:cs="Arial"/>
          <w:color w:val="3A3A3A"/>
          <w:sz w:val="21"/>
          <w:szCs w:val="21"/>
          <w:lang w:eastAsia="en-GB"/>
        </w:rPr>
        <w:t> simply ‘learning facts’ or increasing ‘knowledge’; it involves the application and understanding of how concepts interlink, which leads to an ‘associative network’ (Hausmann, 2020, p. 16), where information is understood in relation to other information.</w:t>
      </w:r>
    </w:p>
    <w:p w14:paraId="3A59057D"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lang w:eastAsia="en-GB"/>
        </w:rPr>
      </w:pPr>
      <w:r w:rsidRPr="00E010EC">
        <w:rPr>
          <w:rFonts w:ascii="Arial" w:eastAsia="Times New Roman" w:hAnsi="Arial" w:cs="Arial"/>
          <w:color w:val="3A3A3A"/>
          <w:sz w:val="21"/>
          <w:szCs w:val="21"/>
          <w:lang w:eastAsia="en-GB"/>
        </w:rPr>
        <w:t>The focus of class teaching and homework is often the introduction and explanation of new ideas and facts, along with critical analysis and relational understanding of concepts. However, long-term retention of material by students declines over time. Ebbinghaus’s ‘forgetting curve’ illustrates that if knowledge is not revisited before a certain point, the chance of recalling that information decreases (Carey, 2012). While there are limitations to Ebbinghaus’s experiment, Conway et al. (1991) also found that memory performance declined over time when learning concepts.</w:t>
      </w:r>
    </w:p>
    <w:p w14:paraId="04347264"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lang w:eastAsia="en-GB"/>
        </w:rPr>
      </w:pPr>
      <w:r w:rsidRPr="00E010EC">
        <w:rPr>
          <w:rFonts w:ascii="Arial" w:eastAsia="Times New Roman" w:hAnsi="Arial" w:cs="Arial"/>
          <w:color w:val="3A3A3A"/>
          <w:sz w:val="21"/>
          <w:szCs w:val="21"/>
          <w:lang w:eastAsia="en-GB"/>
        </w:rPr>
        <w:t xml:space="preserve">Therefore, </w:t>
      </w:r>
      <w:r w:rsidRPr="00E010EC">
        <w:rPr>
          <w:rFonts w:ascii="Arial" w:eastAsia="Times New Roman" w:hAnsi="Arial" w:cs="Arial"/>
          <w:color w:val="3A3A3A"/>
          <w:sz w:val="21"/>
          <w:szCs w:val="21"/>
          <w:highlight w:val="yellow"/>
          <w:lang w:eastAsia="en-GB"/>
        </w:rPr>
        <w:t>for assessments, students need to revise in preparation</w:t>
      </w:r>
      <w:r w:rsidRPr="00E010EC">
        <w:rPr>
          <w:rFonts w:ascii="Arial" w:eastAsia="Times New Roman" w:hAnsi="Arial" w:cs="Arial"/>
          <w:color w:val="3A3A3A"/>
          <w:sz w:val="21"/>
          <w:szCs w:val="21"/>
          <w:lang w:eastAsia="en-GB"/>
        </w:rPr>
        <w:t xml:space="preserve">. Lessons should be structured so that students are continually </w:t>
      </w:r>
      <w:r w:rsidRPr="00E010EC">
        <w:rPr>
          <w:rFonts w:ascii="Arial" w:eastAsia="Times New Roman" w:hAnsi="Arial" w:cs="Arial"/>
          <w:color w:val="3A3A3A"/>
          <w:sz w:val="21"/>
          <w:szCs w:val="21"/>
          <w:highlight w:val="yellow"/>
          <w:lang w:eastAsia="en-GB"/>
        </w:rPr>
        <w:t>revisiting previous material, resulting in long-term learning and reducing the ‘forgetting curve’</w:t>
      </w:r>
      <w:r w:rsidRPr="00E010EC">
        <w:rPr>
          <w:rFonts w:ascii="Arial" w:eastAsia="Times New Roman" w:hAnsi="Arial" w:cs="Arial"/>
          <w:color w:val="3A3A3A"/>
          <w:sz w:val="21"/>
          <w:szCs w:val="21"/>
          <w:lang w:eastAsia="en-GB"/>
        </w:rPr>
        <w:t>. The most efficient way of revisiting material is through low-stakes testing, this being self-testing/teacher directed (Brown et al., 2014). Furthermore, </w:t>
      </w:r>
      <w:hyperlink r:id="rId9" w:tgtFrame="_blank" w:history="1">
        <w:r w:rsidRPr="00E010EC">
          <w:rPr>
            <w:rFonts w:ascii="Arial" w:eastAsia="Times New Roman" w:hAnsi="Arial" w:cs="Arial"/>
            <w:b/>
            <w:bCs/>
            <w:color w:val="CC3366"/>
            <w:sz w:val="21"/>
            <w:szCs w:val="21"/>
            <w:u w:val="single"/>
            <w:lang w:eastAsia="en-GB"/>
          </w:rPr>
          <w:t>interleaving</w:t>
        </w:r>
      </w:hyperlink>
      <w:r w:rsidRPr="00E010EC">
        <w:rPr>
          <w:rFonts w:ascii="Arial" w:eastAsia="Times New Roman" w:hAnsi="Arial" w:cs="Arial"/>
          <w:color w:val="3A3A3A"/>
          <w:sz w:val="21"/>
          <w:szCs w:val="21"/>
          <w:lang w:eastAsia="en-GB"/>
        </w:rPr>
        <w:t xml:space="preserve"> (switching between topics or forms of practice while studying) increases retention and understanding of material. This enables spaced practice (also known as distributed practice/spacing effect), whereby various material is revised weeks/months before an assessment, which increases the ability to store it in long-term memory and retrieve the information (Weinstein et al., 2019). If, for example, one has a test in a week’s time, one should revise roughly every two days; if the test is in a month, the study interval should be every 10 days, increasing to two weeks if the test </w:t>
      </w:r>
      <w:proofErr w:type="gramStart"/>
      <w:r w:rsidRPr="00E010EC">
        <w:rPr>
          <w:rFonts w:ascii="Arial" w:eastAsia="Times New Roman" w:hAnsi="Arial" w:cs="Arial"/>
          <w:color w:val="3A3A3A"/>
          <w:sz w:val="21"/>
          <w:szCs w:val="21"/>
          <w:lang w:eastAsia="en-GB"/>
        </w:rPr>
        <w:t>is  two</w:t>
      </w:r>
      <w:proofErr w:type="gramEnd"/>
      <w:r w:rsidRPr="00E010EC">
        <w:rPr>
          <w:rFonts w:ascii="Arial" w:eastAsia="Times New Roman" w:hAnsi="Arial" w:cs="Arial"/>
          <w:color w:val="3A3A3A"/>
          <w:sz w:val="21"/>
          <w:szCs w:val="21"/>
          <w:lang w:eastAsia="en-GB"/>
        </w:rPr>
        <w:t xml:space="preserve"> to three months away (Carey, 2012).</w:t>
      </w:r>
    </w:p>
    <w:p w14:paraId="6B1521F8"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lang w:eastAsia="en-GB"/>
        </w:rPr>
      </w:pPr>
      <w:r w:rsidRPr="00E010EC">
        <w:rPr>
          <w:rFonts w:ascii="Arial" w:eastAsia="Times New Roman" w:hAnsi="Arial" w:cs="Arial"/>
          <w:color w:val="3A3A3A"/>
          <w:sz w:val="21"/>
          <w:szCs w:val="21"/>
          <w:lang w:eastAsia="en-GB"/>
        </w:rPr>
        <w:t xml:space="preserve">Storing information in and retrieving information from our minds are two distinct processes. Bjork and Bjork’s (1992) ‘new theory of disuse’ posits that memories have a storage and retrieval strength. Retrieval strength is the ease with which a memory can be recalled, and </w:t>
      </w:r>
      <w:proofErr w:type="gramStart"/>
      <w:r w:rsidRPr="00E010EC">
        <w:rPr>
          <w:rFonts w:ascii="Arial" w:eastAsia="Times New Roman" w:hAnsi="Arial" w:cs="Arial"/>
          <w:color w:val="3A3A3A"/>
          <w:sz w:val="21"/>
          <w:szCs w:val="21"/>
          <w:lang w:eastAsia="en-GB"/>
        </w:rPr>
        <w:t>this increases</w:t>
      </w:r>
      <w:proofErr w:type="gramEnd"/>
      <w:r w:rsidRPr="00E010EC">
        <w:rPr>
          <w:rFonts w:ascii="Arial" w:eastAsia="Times New Roman" w:hAnsi="Arial" w:cs="Arial"/>
          <w:color w:val="3A3A3A"/>
          <w:sz w:val="21"/>
          <w:szCs w:val="21"/>
          <w:lang w:eastAsia="en-GB"/>
        </w:rPr>
        <w:t xml:space="preserve"> when studying – but without reinforcement it can decline rapidly. Storage strength is the extent to which a memory is embedded in the mind – this never decreases. While newly learnt information does not overwrite previously learnt information, in some cases it can become inaccessible but remain in storage. Spacing information through effective retrieval practice (Figure 1), as well as bringing in ‘desirable difficulties’, can maximise storage and retrieval strength. Desirable difficulties are tasks that lead to stronger learning, and these can be introduced by varying the conditions of learning: interleaving, spaced practice and self/teacher-directed testing.</w:t>
      </w:r>
    </w:p>
    <w:p w14:paraId="24C5176A"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lang w:eastAsia="en-GB"/>
        </w:rPr>
      </w:pPr>
      <w:r w:rsidRPr="00E010EC">
        <w:rPr>
          <w:rFonts w:ascii="Arial" w:eastAsia="Times New Roman" w:hAnsi="Arial" w:cs="Arial"/>
          <w:color w:val="3A3A3A"/>
          <w:sz w:val="21"/>
          <w:szCs w:val="21"/>
          <w:lang w:eastAsia="en-GB"/>
        </w:rPr>
        <w:t xml:space="preserve">Studying material, retaining it and retrieving it from long-term memory elicit a variety of misunderstandings, which pervade education. These include rereading being an effective study </w:t>
      </w:r>
      <w:r w:rsidRPr="00E010EC">
        <w:rPr>
          <w:rFonts w:ascii="Arial" w:eastAsia="Times New Roman" w:hAnsi="Arial" w:cs="Arial"/>
          <w:color w:val="3A3A3A"/>
          <w:sz w:val="21"/>
          <w:szCs w:val="21"/>
          <w:lang w:eastAsia="en-GB"/>
        </w:rPr>
        <w:lastRenderedPageBreak/>
        <w:t>strategy and the idea that students have a specific ‘style’ of learning, leading to an incomplete picture of how learning happens (Weinstein et al., 2019).</w:t>
      </w:r>
    </w:p>
    <w:p w14:paraId="381FFBC6"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lang w:eastAsia="en-GB"/>
        </w:rPr>
      </w:pPr>
      <w:r w:rsidRPr="00E010EC">
        <w:rPr>
          <w:rFonts w:ascii="Arial" w:eastAsia="Times New Roman" w:hAnsi="Arial" w:cs="Arial"/>
          <w:color w:val="3A3A3A"/>
          <w:sz w:val="21"/>
          <w:szCs w:val="21"/>
          <w:highlight w:val="yellow"/>
          <w:lang w:eastAsia="en-GB"/>
        </w:rPr>
        <w:t>Feedback is a key aspect to ensure increased storage and retrieval strength, and feedback on errors must be given as soon as possible</w:t>
      </w:r>
      <w:r w:rsidRPr="00E010EC">
        <w:rPr>
          <w:rFonts w:ascii="Arial" w:eastAsia="Times New Roman" w:hAnsi="Arial" w:cs="Arial"/>
          <w:color w:val="3A3A3A"/>
          <w:sz w:val="21"/>
          <w:szCs w:val="21"/>
          <w:lang w:eastAsia="en-GB"/>
        </w:rPr>
        <w:t xml:space="preserve"> (</w:t>
      </w:r>
      <w:proofErr w:type="spellStart"/>
      <w:r w:rsidRPr="00E010EC">
        <w:rPr>
          <w:rFonts w:ascii="Arial" w:eastAsia="Times New Roman" w:hAnsi="Arial" w:cs="Arial"/>
          <w:color w:val="3A3A3A"/>
          <w:sz w:val="21"/>
          <w:szCs w:val="21"/>
          <w:lang w:eastAsia="en-GB"/>
        </w:rPr>
        <w:t>Dehaene</w:t>
      </w:r>
      <w:proofErr w:type="spellEnd"/>
      <w:r w:rsidRPr="00E010EC">
        <w:rPr>
          <w:rFonts w:ascii="Arial" w:eastAsia="Times New Roman" w:hAnsi="Arial" w:cs="Arial"/>
          <w:color w:val="3A3A3A"/>
          <w:sz w:val="21"/>
          <w:szCs w:val="21"/>
          <w:lang w:eastAsia="en-GB"/>
        </w:rPr>
        <w:t xml:space="preserve">, 2020). Making errors is vital for learning to take place, but in some </w:t>
      </w:r>
      <w:proofErr w:type="gramStart"/>
      <w:r w:rsidRPr="00E010EC">
        <w:rPr>
          <w:rFonts w:ascii="Arial" w:eastAsia="Times New Roman" w:hAnsi="Arial" w:cs="Arial"/>
          <w:color w:val="3A3A3A"/>
          <w:sz w:val="21"/>
          <w:szCs w:val="21"/>
          <w:lang w:eastAsia="en-GB"/>
        </w:rPr>
        <w:t>cases</w:t>
      </w:r>
      <w:proofErr w:type="gramEnd"/>
      <w:r w:rsidRPr="00E010EC">
        <w:rPr>
          <w:rFonts w:ascii="Arial" w:eastAsia="Times New Roman" w:hAnsi="Arial" w:cs="Arial"/>
          <w:color w:val="3A3A3A"/>
          <w:sz w:val="21"/>
          <w:szCs w:val="21"/>
          <w:lang w:eastAsia="en-GB"/>
        </w:rPr>
        <w:t xml:space="preserve"> it can lead to ‘hypercorrection’. This is when errors made with high confidence lead to ‘updated’ memory when corrected, as opposed to errors made with low confidence (Butterfield and Metcalfe, 2001), avoiding illusions of knowing. Consequently, frequent low-stakes self/teacher-directed testing and interleaved practice can increase the opportunity for errors and retention of information.</w:t>
      </w:r>
    </w:p>
    <w:p w14:paraId="3E0AB299" w14:textId="77777777" w:rsidR="00E010EC" w:rsidRPr="00E010EC" w:rsidRDefault="00E010EC" w:rsidP="00E010EC">
      <w:pPr>
        <w:shd w:val="clear" w:color="auto" w:fill="FFFFFF"/>
        <w:spacing w:before="100" w:beforeAutospacing="1" w:after="100" w:afterAutospacing="1" w:line="504" w:lineRule="atLeast"/>
        <w:outlineLvl w:val="2"/>
        <w:rPr>
          <w:rFonts w:ascii="Arial" w:eastAsia="Times New Roman" w:hAnsi="Arial" w:cs="Arial"/>
          <w:b/>
          <w:bCs/>
          <w:color w:val="3A3A3A"/>
          <w:sz w:val="27"/>
          <w:szCs w:val="27"/>
          <w:lang w:eastAsia="en-GB"/>
        </w:rPr>
      </w:pPr>
      <w:r w:rsidRPr="00E010EC">
        <w:rPr>
          <w:rFonts w:ascii="Arial" w:eastAsia="Times New Roman" w:hAnsi="Arial" w:cs="Arial"/>
          <w:b/>
          <w:bCs/>
          <w:color w:val="3A3A3A"/>
          <w:sz w:val="27"/>
          <w:szCs w:val="27"/>
          <w:lang w:eastAsia="en-GB"/>
        </w:rPr>
        <w:t>An overview of revision techniques</w:t>
      </w:r>
    </w:p>
    <w:p w14:paraId="3B725EFD"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lang w:eastAsia="en-GB"/>
        </w:rPr>
      </w:pPr>
      <w:r w:rsidRPr="00E010EC">
        <w:rPr>
          <w:rFonts w:ascii="Arial" w:eastAsia="Times New Roman" w:hAnsi="Arial" w:cs="Arial"/>
          <w:color w:val="3A3A3A"/>
          <w:sz w:val="21"/>
          <w:szCs w:val="21"/>
          <w:lang w:eastAsia="en-GB"/>
        </w:rPr>
        <w:t xml:space="preserve">The most effective way of revising is </w:t>
      </w:r>
      <w:r w:rsidRPr="00E010EC">
        <w:rPr>
          <w:rFonts w:ascii="Arial" w:eastAsia="Times New Roman" w:hAnsi="Arial" w:cs="Arial"/>
          <w:color w:val="3A3A3A"/>
          <w:sz w:val="21"/>
          <w:szCs w:val="21"/>
          <w:highlight w:val="yellow"/>
          <w:lang w:eastAsia="en-GB"/>
        </w:rPr>
        <w:t>self-testing</w:t>
      </w:r>
      <w:r w:rsidRPr="00E010EC">
        <w:rPr>
          <w:rFonts w:ascii="Arial" w:eastAsia="Times New Roman" w:hAnsi="Arial" w:cs="Arial"/>
          <w:color w:val="3A3A3A"/>
          <w:sz w:val="21"/>
          <w:szCs w:val="21"/>
          <w:lang w:eastAsia="en-GB"/>
        </w:rPr>
        <w:t xml:space="preserve"> (</w:t>
      </w:r>
      <w:proofErr w:type="spellStart"/>
      <w:r w:rsidRPr="00E010EC">
        <w:rPr>
          <w:rFonts w:ascii="Arial" w:eastAsia="Times New Roman" w:hAnsi="Arial" w:cs="Arial"/>
          <w:color w:val="3A3A3A"/>
          <w:sz w:val="21"/>
          <w:szCs w:val="21"/>
          <w:lang w:eastAsia="en-GB"/>
        </w:rPr>
        <w:t>Dunlosky</w:t>
      </w:r>
      <w:proofErr w:type="spellEnd"/>
      <w:r w:rsidRPr="00E010EC">
        <w:rPr>
          <w:rFonts w:ascii="Arial" w:eastAsia="Times New Roman" w:hAnsi="Arial" w:cs="Arial"/>
          <w:color w:val="3A3A3A"/>
          <w:sz w:val="21"/>
          <w:szCs w:val="21"/>
          <w:lang w:eastAsia="en-GB"/>
        </w:rPr>
        <w:t xml:space="preserve"> et al., 2015; Weinstein et al., 2019). This takes advantage of desirable difficulties, spaced practice and hypercorrection, all increasing storage and retrieval strength if undertaken well. Error-feedback and self-testing are ways of ensuring that misconceptions are corrected. Yet the way in which to correct oneself when an error has been made in self-testing is to undertake self-explanation to cover </w:t>
      </w:r>
      <w:r w:rsidRPr="00E010EC">
        <w:rPr>
          <w:rFonts w:ascii="Arial" w:eastAsia="Times New Roman" w:hAnsi="Arial" w:cs="Arial"/>
          <w:i/>
          <w:iCs/>
          <w:color w:val="3A3A3A"/>
          <w:sz w:val="21"/>
          <w:szCs w:val="21"/>
          <w:lang w:eastAsia="en-GB"/>
        </w:rPr>
        <w:t>why </w:t>
      </w:r>
      <w:r w:rsidRPr="00E010EC">
        <w:rPr>
          <w:rFonts w:ascii="Arial" w:eastAsia="Times New Roman" w:hAnsi="Arial" w:cs="Arial"/>
          <w:color w:val="3A3A3A"/>
          <w:sz w:val="21"/>
          <w:szCs w:val="21"/>
          <w:lang w:eastAsia="en-GB"/>
        </w:rPr>
        <w:t xml:space="preserve">a concept recalled was incorrect (Hausmann, 2020). Self-elaboration/elaborative interrogation (expressing material in one’s own words, connecting it with prior knowledge) is a useful way of revising when used in conjunction with self-testing. Yet </w:t>
      </w:r>
      <w:proofErr w:type="spellStart"/>
      <w:r w:rsidRPr="00E010EC">
        <w:rPr>
          <w:rFonts w:ascii="Arial" w:eastAsia="Times New Roman" w:hAnsi="Arial" w:cs="Arial"/>
          <w:color w:val="3A3A3A"/>
          <w:sz w:val="21"/>
          <w:szCs w:val="21"/>
          <w:lang w:eastAsia="en-GB"/>
        </w:rPr>
        <w:t>Dunlosky</w:t>
      </w:r>
      <w:proofErr w:type="spellEnd"/>
      <w:r w:rsidRPr="00E010EC">
        <w:rPr>
          <w:rFonts w:ascii="Arial" w:eastAsia="Times New Roman" w:hAnsi="Arial" w:cs="Arial"/>
          <w:color w:val="3A3A3A"/>
          <w:sz w:val="21"/>
          <w:szCs w:val="21"/>
          <w:lang w:eastAsia="en-GB"/>
        </w:rPr>
        <w:t xml:space="preserve"> et al. (2015) argue that elaborative interrogation is only moderately useful, due to its inability to help to learn complex information. However, when used in conjunction with self-testing, it is possible to increase retrieval strength.</w:t>
      </w:r>
    </w:p>
    <w:p w14:paraId="2DB2EDB9"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lang w:eastAsia="en-GB"/>
        </w:rPr>
      </w:pPr>
      <w:r w:rsidRPr="00E010EC">
        <w:rPr>
          <w:rFonts w:ascii="Arial" w:eastAsia="Times New Roman" w:hAnsi="Arial" w:cs="Arial"/>
          <w:color w:val="3A3A3A"/>
          <w:sz w:val="21"/>
          <w:szCs w:val="21"/>
          <w:lang w:eastAsia="en-GB"/>
        </w:rPr>
        <w:t xml:space="preserve">There is a variety of ways in which to self-test, which include </w:t>
      </w:r>
      <w:r w:rsidRPr="00E010EC">
        <w:rPr>
          <w:rFonts w:ascii="Arial" w:eastAsia="Times New Roman" w:hAnsi="Arial" w:cs="Arial"/>
          <w:color w:val="3A3A3A"/>
          <w:sz w:val="21"/>
          <w:szCs w:val="21"/>
          <w:highlight w:val="yellow"/>
          <w:lang w:eastAsia="en-GB"/>
        </w:rPr>
        <w:t>‘</w:t>
      </w:r>
      <w:r w:rsidRPr="00E010EC">
        <w:rPr>
          <w:rFonts w:ascii="Arial" w:eastAsia="Times New Roman" w:hAnsi="Arial" w:cs="Arial"/>
          <w:color w:val="3A3A3A"/>
          <w:sz w:val="21"/>
          <w:szCs w:val="21"/>
          <w:highlight w:val="green"/>
          <w:lang w:eastAsia="en-GB"/>
        </w:rPr>
        <w:t>read, cover, write, check’</w:t>
      </w:r>
      <w:r w:rsidRPr="00E010EC">
        <w:rPr>
          <w:rFonts w:ascii="Arial" w:eastAsia="Times New Roman" w:hAnsi="Arial" w:cs="Arial"/>
          <w:color w:val="3A3A3A"/>
          <w:sz w:val="21"/>
          <w:szCs w:val="21"/>
          <w:lang w:eastAsia="en-GB"/>
        </w:rPr>
        <w:t>, f</w:t>
      </w:r>
      <w:r w:rsidRPr="00E010EC">
        <w:rPr>
          <w:rFonts w:ascii="Arial" w:eastAsia="Times New Roman" w:hAnsi="Arial" w:cs="Arial"/>
          <w:color w:val="3A3A3A"/>
          <w:sz w:val="21"/>
          <w:szCs w:val="21"/>
          <w:highlight w:val="green"/>
          <w:lang w:eastAsia="en-GB"/>
        </w:rPr>
        <w:t>lashcards</w:t>
      </w:r>
      <w:r w:rsidRPr="00E010EC">
        <w:rPr>
          <w:rFonts w:ascii="Arial" w:eastAsia="Times New Roman" w:hAnsi="Arial" w:cs="Arial"/>
          <w:color w:val="3A3A3A"/>
          <w:sz w:val="21"/>
          <w:szCs w:val="21"/>
          <w:lang w:eastAsia="en-GB"/>
        </w:rPr>
        <w:t xml:space="preserve"> and </w:t>
      </w:r>
      <w:r w:rsidRPr="00E010EC">
        <w:rPr>
          <w:rFonts w:ascii="Arial" w:eastAsia="Times New Roman" w:hAnsi="Arial" w:cs="Arial"/>
          <w:color w:val="3A3A3A"/>
          <w:sz w:val="21"/>
          <w:szCs w:val="21"/>
          <w:highlight w:val="green"/>
          <w:lang w:eastAsia="en-GB"/>
        </w:rPr>
        <w:t>past paper questions</w:t>
      </w:r>
      <w:r w:rsidRPr="00E010EC">
        <w:rPr>
          <w:rFonts w:ascii="Arial" w:eastAsia="Times New Roman" w:hAnsi="Arial" w:cs="Arial"/>
          <w:color w:val="3A3A3A"/>
          <w:sz w:val="21"/>
          <w:szCs w:val="21"/>
          <w:lang w:eastAsia="en-GB"/>
        </w:rPr>
        <w:t xml:space="preserve"> – all ways of formatively assessing knowledge and understanding. To ensure that students are able to undertake this, spaced practice and interleaving must be built into the curriculum at optimal study intervals to increase retention. This enables students to understand the links between various pieces of information. It can be done through self/teacher-directed low-stakes ‘tests’ in class/homework through careful planning, as many subjects teach in units (Weinstein, 2019), enabling information in subsequent units of work to be retrieved.</w:t>
      </w:r>
    </w:p>
    <w:p w14:paraId="44569591"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lang w:eastAsia="en-GB"/>
        </w:rPr>
      </w:pPr>
      <w:r w:rsidRPr="00E010EC">
        <w:rPr>
          <w:rFonts w:ascii="Arial" w:eastAsia="Times New Roman" w:hAnsi="Arial" w:cs="Arial"/>
          <w:color w:val="3A3A3A"/>
          <w:sz w:val="21"/>
          <w:szCs w:val="21"/>
          <w:lang w:eastAsia="en-GB"/>
        </w:rPr>
        <w:t>There are alternative ways of revising that are not as effective. Summarising is often used by educators to encourage students to sort important information that they need to know; this includes drawing, concept mapping and imagery (Mitchell, 2016). Yet drawing and imagery are considered low utility in terms of revision, due to constraint to ‘image friendly’ materials. Summarising in itself is also a poor technique, due to the multiple ways in which it can be implemented, yielding inconsistent results due to its narrow focus (</w:t>
      </w:r>
      <w:proofErr w:type="spellStart"/>
      <w:r w:rsidRPr="00E010EC">
        <w:rPr>
          <w:rFonts w:ascii="Arial" w:eastAsia="Times New Roman" w:hAnsi="Arial" w:cs="Arial"/>
          <w:color w:val="3A3A3A"/>
          <w:sz w:val="21"/>
          <w:szCs w:val="21"/>
          <w:lang w:eastAsia="en-GB"/>
        </w:rPr>
        <w:t>Dunlosky</w:t>
      </w:r>
      <w:proofErr w:type="spellEnd"/>
      <w:r w:rsidRPr="00E010EC">
        <w:rPr>
          <w:rFonts w:ascii="Arial" w:eastAsia="Times New Roman" w:hAnsi="Arial" w:cs="Arial"/>
          <w:color w:val="3A3A3A"/>
          <w:sz w:val="21"/>
          <w:szCs w:val="21"/>
          <w:lang w:eastAsia="en-GB"/>
        </w:rPr>
        <w:t xml:space="preserve"> et al., 2015). On the other hand, concept mapping has been purported to be a useful technique for retrieval, if it is created from memory (Jones, 2019).</w:t>
      </w:r>
    </w:p>
    <w:p w14:paraId="48B4C0D4"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lang w:eastAsia="en-GB"/>
        </w:rPr>
      </w:pPr>
      <w:r w:rsidRPr="00E010EC">
        <w:rPr>
          <w:rFonts w:ascii="Arial" w:eastAsia="Times New Roman" w:hAnsi="Arial" w:cs="Arial"/>
          <w:color w:val="3A3A3A"/>
          <w:sz w:val="21"/>
          <w:szCs w:val="21"/>
          <w:lang w:eastAsia="en-GB"/>
        </w:rPr>
        <w:t>Mnemonics are often viewed as a useful revision technique. Mitchell notes that ‘it is far easier to remember mnemonics than a whole tract of text’ (2016, p. 77). However, mnemonics only work for remembering specifics, being unhelpful for long passages. They are only effective if used alongside imagery, but self-testing is more effective (</w:t>
      </w:r>
      <w:proofErr w:type="spellStart"/>
      <w:r w:rsidRPr="00E010EC">
        <w:rPr>
          <w:rFonts w:ascii="Arial" w:eastAsia="Times New Roman" w:hAnsi="Arial" w:cs="Arial"/>
          <w:color w:val="3A3A3A"/>
          <w:sz w:val="21"/>
          <w:szCs w:val="21"/>
          <w:lang w:eastAsia="en-GB"/>
        </w:rPr>
        <w:t>Dunlosky</w:t>
      </w:r>
      <w:proofErr w:type="spellEnd"/>
      <w:r w:rsidRPr="00E010EC">
        <w:rPr>
          <w:rFonts w:ascii="Arial" w:eastAsia="Times New Roman" w:hAnsi="Arial" w:cs="Arial"/>
          <w:color w:val="3A3A3A"/>
          <w:sz w:val="21"/>
          <w:szCs w:val="21"/>
          <w:lang w:eastAsia="en-GB"/>
        </w:rPr>
        <w:t xml:space="preserve"> et al., 2015).</w:t>
      </w:r>
    </w:p>
    <w:p w14:paraId="59566718"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lang w:eastAsia="en-GB"/>
        </w:rPr>
      </w:pPr>
      <w:r w:rsidRPr="00E010EC">
        <w:rPr>
          <w:rFonts w:ascii="Arial" w:eastAsia="Times New Roman" w:hAnsi="Arial" w:cs="Arial"/>
          <w:color w:val="3A3A3A"/>
          <w:sz w:val="21"/>
          <w:szCs w:val="21"/>
          <w:lang w:eastAsia="en-GB"/>
        </w:rPr>
        <w:t>The most ineffective way for students to revise is through rereading/highlighting/underlining. This is used by many students because it gives the perception of learning (</w:t>
      </w:r>
      <w:proofErr w:type="spellStart"/>
      <w:r w:rsidRPr="00E010EC">
        <w:rPr>
          <w:rFonts w:ascii="Arial" w:eastAsia="Times New Roman" w:hAnsi="Arial" w:cs="Arial"/>
          <w:color w:val="3A3A3A"/>
          <w:sz w:val="21"/>
          <w:szCs w:val="21"/>
          <w:lang w:eastAsia="en-GB"/>
        </w:rPr>
        <w:t>Dunlosky</w:t>
      </w:r>
      <w:proofErr w:type="spellEnd"/>
      <w:r w:rsidRPr="00E010EC">
        <w:rPr>
          <w:rFonts w:ascii="Arial" w:eastAsia="Times New Roman" w:hAnsi="Arial" w:cs="Arial"/>
          <w:color w:val="3A3A3A"/>
          <w:sz w:val="21"/>
          <w:szCs w:val="21"/>
          <w:lang w:eastAsia="en-GB"/>
        </w:rPr>
        <w:t xml:space="preserve"> et al., 2015). </w:t>
      </w:r>
    </w:p>
    <w:p w14:paraId="62BDFB01" w14:textId="77777777" w:rsidR="00E010EC" w:rsidRPr="00E010EC" w:rsidRDefault="00E010EC" w:rsidP="00E010EC">
      <w:pPr>
        <w:shd w:val="clear" w:color="auto" w:fill="FFFFFF"/>
        <w:spacing w:before="100" w:beforeAutospacing="1" w:after="100" w:afterAutospacing="1" w:line="504" w:lineRule="atLeast"/>
        <w:outlineLvl w:val="3"/>
        <w:rPr>
          <w:rFonts w:ascii="Arial" w:eastAsia="Times New Roman" w:hAnsi="Arial" w:cs="Arial"/>
          <w:b/>
          <w:bCs/>
          <w:color w:val="3A3A3A"/>
          <w:sz w:val="24"/>
          <w:szCs w:val="24"/>
          <w:lang w:eastAsia="en-GB"/>
        </w:rPr>
      </w:pPr>
      <w:r w:rsidRPr="00E010EC">
        <w:rPr>
          <w:rFonts w:ascii="Arial" w:eastAsia="Times New Roman" w:hAnsi="Arial" w:cs="Arial"/>
          <w:b/>
          <w:bCs/>
          <w:color w:val="3A3A3A"/>
          <w:sz w:val="24"/>
          <w:szCs w:val="24"/>
          <w:lang w:eastAsia="en-GB"/>
        </w:rPr>
        <w:t>Ho</w:t>
      </w:r>
      <w:bookmarkStart w:id="0" w:name="_GoBack"/>
      <w:bookmarkEnd w:id="0"/>
      <w:r w:rsidRPr="00E010EC">
        <w:rPr>
          <w:rFonts w:ascii="Arial" w:eastAsia="Times New Roman" w:hAnsi="Arial" w:cs="Arial"/>
          <w:b/>
          <w:bCs/>
          <w:color w:val="3A3A3A"/>
          <w:sz w:val="24"/>
          <w:szCs w:val="24"/>
          <w:lang w:eastAsia="en-GB"/>
        </w:rPr>
        <w:t>w to revise: Self-testing and spaced practice</w:t>
      </w:r>
    </w:p>
    <w:p w14:paraId="2D5335CC"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highlight w:val="green"/>
          <w:lang w:eastAsia="en-GB"/>
        </w:rPr>
      </w:pPr>
      <w:r w:rsidRPr="00E010EC">
        <w:rPr>
          <w:rFonts w:ascii="Arial" w:eastAsia="Times New Roman" w:hAnsi="Arial" w:cs="Arial"/>
          <w:color w:val="3A3A3A"/>
          <w:sz w:val="21"/>
          <w:szCs w:val="21"/>
          <w:highlight w:val="green"/>
          <w:lang w:eastAsia="en-GB"/>
        </w:rPr>
        <w:lastRenderedPageBreak/>
        <w:t>When students are faced with the task of revising information from their exercise book, notes folder or textbook in preparation for an assessment or exam, they should undertake the following steps:</w:t>
      </w:r>
    </w:p>
    <w:p w14:paraId="6C43A42E"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highlight w:val="green"/>
          <w:lang w:eastAsia="en-GB"/>
        </w:rPr>
      </w:pPr>
      <w:r w:rsidRPr="00E010EC">
        <w:rPr>
          <w:rFonts w:ascii="Arial" w:eastAsia="Times New Roman" w:hAnsi="Arial" w:cs="Arial"/>
          <w:b/>
          <w:bCs/>
          <w:color w:val="3A3A3A"/>
          <w:sz w:val="21"/>
          <w:szCs w:val="21"/>
          <w:highlight w:val="green"/>
          <w:lang w:eastAsia="en-GB"/>
        </w:rPr>
        <w:t>Step 1: </w:t>
      </w:r>
      <w:r w:rsidRPr="00E010EC">
        <w:rPr>
          <w:rFonts w:ascii="Arial" w:eastAsia="Times New Roman" w:hAnsi="Arial" w:cs="Arial"/>
          <w:color w:val="3A3A3A"/>
          <w:sz w:val="21"/>
          <w:szCs w:val="21"/>
          <w:highlight w:val="green"/>
          <w:lang w:eastAsia="en-GB"/>
        </w:rPr>
        <w:t>Read, cover, write, check (self-testing), ensuring that they interleave topics. Mind maps should only be used if they have been created under </w:t>
      </w:r>
      <w:hyperlink r:id="rId10" w:tgtFrame="_blank" w:history="1">
        <w:r w:rsidRPr="00E010EC">
          <w:rPr>
            <w:rFonts w:ascii="Arial" w:eastAsia="Times New Roman" w:hAnsi="Arial" w:cs="Arial"/>
            <w:b/>
            <w:bCs/>
            <w:color w:val="CC3366"/>
            <w:sz w:val="21"/>
            <w:szCs w:val="21"/>
            <w:highlight w:val="green"/>
            <w:u w:val="single"/>
            <w:lang w:eastAsia="en-GB"/>
          </w:rPr>
          <w:t>direct instruction</w:t>
        </w:r>
      </w:hyperlink>
      <w:r w:rsidRPr="00E010EC">
        <w:rPr>
          <w:rFonts w:ascii="Arial" w:eastAsia="Times New Roman" w:hAnsi="Arial" w:cs="Arial"/>
          <w:color w:val="3A3A3A"/>
          <w:sz w:val="21"/>
          <w:szCs w:val="21"/>
          <w:highlight w:val="green"/>
          <w:lang w:eastAsia="en-GB"/>
        </w:rPr>
        <w:t> or from memory, or if students have been taught how to produce them.</w:t>
      </w:r>
    </w:p>
    <w:p w14:paraId="79FE6714"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highlight w:val="green"/>
          <w:lang w:eastAsia="en-GB"/>
        </w:rPr>
      </w:pPr>
      <w:r w:rsidRPr="00E010EC">
        <w:rPr>
          <w:rFonts w:ascii="Arial" w:eastAsia="Times New Roman" w:hAnsi="Arial" w:cs="Arial"/>
          <w:b/>
          <w:bCs/>
          <w:color w:val="3A3A3A"/>
          <w:sz w:val="21"/>
          <w:szCs w:val="21"/>
          <w:highlight w:val="green"/>
          <w:lang w:eastAsia="en-GB"/>
        </w:rPr>
        <w:t>Step 2: </w:t>
      </w:r>
      <w:r w:rsidRPr="00E010EC">
        <w:rPr>
          <w:rFonts w:ascii="Arial" w:eastAsia="Times New Roman" w:hAnsi="Arial" w:cs="Arial"/>
          <w:color w:val="3A3A3A"/>
          <w:sz w:val="21"/>
          <w:szCs w:val="21"/>
          <w:highlight w:val="green"/>
          <w:lang w:eastAsia="en-GB"/>
        </w:rPr>
        <w:t>Use flash cards (self-testing) – these must be created by the student throughout the course of study. They can be a physical copy or done virtually using one of many online programmes, such as Quizlet.</w:t>
      </w:r>
    </w:p>
    <w:p w14:paraId="2FC55989"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highlight w:val="green"/>
          <w:lang w:eastAsia="en-GB"/>
        </w:rPr>
      </w:pPr>
      <w:r w:rsidRPr="00E010EC">
        <w:rPr>
          <w:rFonts w:ascii="Arial" w:eastAsia="Times New Roman" w:hAnsi="Arial" w:cs="Arial"/>
          <w:b/>
          <w:bCs/>
          <w:color w:val="3A3A3A"/>
          <w:sz w:val="21"/>
          <w:szCs w:val="21"/>
          <w:highlight w:val="green"/>
          <w:lang w:eastAsia="en-GB"/>
        </w:rPr>
        <w:t>Step 3: </w:t>
      </w:r>
      <w:r w:rsidRPr="00E010EC">
        <w:rPr>
          <w:rFonts w:ascii="Arial" w:eastAsia="Times New Roman" w:hAnsi="Arial" w:cs="Arial"/>
          <w:color w:val="3A3A3A"/>
          <w:sz w:val="21"/>
          <w:szCs w:val="21"/>
          <w:highlight w:val="green"/>
          <w:lang w:eastAsia="en-GB"/>
        </w:rPr>
        <w:t>Use past paper/exam-style questions to self-test.</w:t>
      </w:r>
    </w:p>
    <w:p w14:paraId="4108AC92"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lang w:eastAsia="en-GB"/>
        </w:rPr>
      </w:pPr>
      <w:r w:rsidRPr="00E010EC">
        <w:rPr>
          <w:rFonts w:ascii="Arial" w:eastAsia="Times New Roman" w:hAnsi="Arial" w:cs="Arial"/>
          <w:color w:val="3A3A3A"/>
          <w:sz w:val="21"/>
          <w:szCs w:val="21"/>
          <w:highlight w:val="green"/>
          <w:lang w:eastAsia="en-GB"/>
        </w:rPr>
        <w:t>When incorrect information is elicited throughout the revision process, elaborative interrogations should be used to clarify knowledge and promote the hypercorrection effect.</w:t>
      </w:r>
    </w:p>
    <w:p w14:paraId="04D121AD" w14:textId="77777777" w:rsidR="00E010EC" w:rsidRPr="00E010EC" w:rsidRDefault="00E010EC" w:rsidP="00E010EC">
      <w:pPr>
        <w:shd w:val="clear" w:color="auto" w:fill="FFFFFF"/>
        <w:spacing w:before="100" w:beforeAutospacing="1" w:after="100" w:afterAutospacing="1" w:line="504" w:lineRule="atLeast"/>
        <w:outlineLvl w:val="2"/>
        <w:rPr>
          <w:rFonts w:ascii="Arial" w:eastAsia="Times New Roman" w:hAnsi="Arial" w:cs="Arial"/>
          <w:b/>
          <w:bCs/>
          <w:color w:val="3A3A3A"/>
          <w:sz w:val="27"/>
          <w:szCs w:val="27"/>
          <w:lang w:eastAsia="en-GB"/>
        </w:rPr>
      </w:pPr>
      <w:r w:rsidRPr="00E010EC">
        <w:rPr>
          <w:rFonts w:ascii="Arial" w:eastAsia="Times New Roman" w:hAnsi="Arial" w:cs="Arial"/>
          <w:b/>
          <w:bCs/>
          <w:color w:val="3A3A3A"/>
          <w:sz w:val="27"/>
          <w:szCs w:val="27"/>
          <w:lang w:eastAsia="en-GB"/>
        </w:rPr>
        <w:t>Summary</w:t>
      </w:r>
    </w:p>
    <w:p w14:paraId="6605AC02" w14:textId="77777777" w:rsidR="00E010EC" w:rsidRPr="00E010EC" w:rsidRDefault="00E010EC" w:rsidP="00E010EC">
      <w:pPr>
        <w:shd w:val="clear" w:color="auto" w:fill="FFFFFF"/>
        <w:spacing w:before="100" w:beforeAutospacing="1" w:after="240" w:line="240" w:lineRule="auto"/>
        <w:rPr>
          <w:rFonts w:ascii="Arial" w:eastAsia="Times New Roman" w:hAnsi="Arial" w:cs="Arial"/>
          <w:color w:val="3A3A3A"/>
          <w:sz w:val="21"/>
          <w:szCs w:val="21"/>
          <w:lang w:eastAsia="en-GB"/>
        </w:rPr>
      </w:pPr>
      <w:r w:rsidRPr="00E010EC">
        <w:rPr>
          <w:rFonts w:ascii="Arial" w:eastAsia="Times New Roman" w:hAnsi="Arial" w:cs="Arial"/>
          <w:color w:val="3A3A3A"/>
          <w:sz w:val="21"/>
          <w:szCs w:val="21"/>
          <w:lang w:eastAsia="en-GB"/>
        </w:rPr>
        <w:t>In conclusion, the ‘how to’ advice for students on the process of revision is to use various forms of self-testing. In addition to this retrieval practice, teachers must build interleaving and spaced practice throughout the curriculum to ensure that students have an in-depth understanding of the material.</w:t>
      </w:r>
    </w:p>
    <w:p w14:paraId="02A4B17B" w14:textId="77777777" w:rsidR="00E010EC" w:rsidRPr="00E010EC" w:rsidRDefault="00E010EC" w:rsidP="00E010EC">
      <w:pPr>
        <w:numPr>
          <w:ilvl w:val="0"/>
          <w:numId w:val="1"/>
        </w:numPr>
        <w:spacing w:before="100" w:beforeAutospacing="1" w:after="100" w:afterAutospacing="1" w:line="240" w:lineRule="auto"/>
        <w:textAlignment w:val="baseline"/>
        <w:rPr>
          <w:rFonts w:ascii="Arial" w:eastAsia="Times New Roman" w:hAnsi="Arial" w:cs="Arial"/>
          <w:color w:val="575757"/>
          <w:sz w:val="21"/>
          <w:szCs w:val="21"/>
          <w:lang w:eastAsia="en-GB"/>
        </w:rPr>
      </w:pPr>
      <w:r w:rsidRPr="00E010EC">
        <w:rPr>
          <w:rFonts w:ascii="Arial" w:eastAsia="Times New Roman" w:hAnsi="Arial" w:cs="Arial"/>
          <w:color w:val="575757"/>
          <w:sz w:val="21"/>
          <w:szCs w:val="21"/>
          <w:lang w:eastAsia="en-GB"/>
        </w:rPr>
        <w:t xml:space="preserve">Bjork RA and Bjork EL (1992) A new theory of disuse and an old theory of stimulus fluctuation. In: Healy AF, </w:t>
      </w:r>
      <w:proofErr w:type="spellStart"/>
      <w:r w:rsidRPr="00E010EC">
        <w:rPr>
          <w:rFonts w:ascii="Arial" w:eastAsia="Times New Roman" w:hAnsi="Arial" w:cs="Arial"/>
          <w:color w:val="575757"/>
          <w:sz w:val="21"/>
          <w:szCs w:val="21"/>
          <w:lang w:eastAsia="en-GB"/>
        </w:rPr>
        <w:t>Kosslyn</w:t>
      </w:r>
      <w:proofErr w:type="spellEnd"/>
      <w:r w:rsidRPr="00E010EC">
        <w:rPr>
          <w:rFonts w:ascii="Arial" w:eastAsia="Times New Roman" w:hAnsi="Arial" w:cs="Arial"/>
          <w:color w:val="575757"/>
          <w:sz w:val="21"/>
          <w:szCs w:val="21"/>
          <w:lang w:eastAsia="en-GB"/>
        </w:rPr>
        <w:t xml:space="preserve"> SM and Shiffrin RM (eds) From Learning Processes to Cognitive Processes: Essays in </w:t>
      </w:r>
      <w:proofErr w:type="spellStart"/>
      <w:r w:rsidRPr="00E010EC">
        <w:rPr>
          <w:rFonts w:ascii="Arial" w:eastAsia="Times New Roman" w:hAnsi="Arial" w:cs="Arial"/>
          <w:color w:val="575757"/>
          <w:sz w:val="21"/>
          <w:szCs w:val="21"/>
          <w:lang w:eastAsia="en-GB"/>
        </w:rPr>
        <w:t>Honor</w:t>
      </w:r>
      <w:proofErr w:type="spellEnd"/>
      <w:r w:rsidRPr="00E010EC">
        <w:rPr>
          <w:rFonts w:ascii="Arial" w:eastAsia="Times New Roman" w:hAnsi="Arial" w:cs="Arial"/>
          <w:color w:val="575757"/>
          <w:sz w:val="21"/>
          <w:szCs w:val="21"/>
          <w:lang w:eastAsia="en-GB"/>
        </w:rPr>
        <w:t xml:space="preserve"> of William K Estes, vol 2. Hove and London: Lawrence Erlbaum Associates, pp. 35–67.</w:t>
      </w:r>
    </w:p>
    <w:p w14:paraId="03396C9E" w14:textId="77777777" w:rsidR="00E010EC" w:rsidRPr="00E010EC" w:rsidRDefault="00E010EC" w:rsidP="00E010EC">
      <w:pPr>
        <w:numPr>
          <w:ilvl w:val="0"/>
          <w:numId w:val="1"/>
        </w:numPr>
        <w:spacing w:before="100" w:beforeAutospacing="1" w:after="100" w:afterAutospacing="1" w:line="240" w:lineRule="auto"/>
        <w:textAlignment w:val="baseline"/>
        <w:rPr>
          <w:rFonts w:ascii="Arial" w:eastAsia="Times New Roman" w:hAnsi="Arial" w:cs="Arial"/>
          <w:color w:val="575757"/>
          <w:sz w:val="21"/>
          <w:szCs w:val="21"/>
          <w:lang w:eastAsia="en-GB"/>
        </w:rPr>
      </w:pPr>
      <w:r w:rsidRPr="00E010EC">
        <w:rPr>
          <w:rFonts w:ascii="Arial" w:eastAsia="Times New Roman" w:hAnsi="Arial" w:cs="Arial"/>
          <w:color w:val="575757"/>
          <w:sz w:val="21"/>
          <w:szCs w:val="21"/>
          <w:lang w:eastAsia="en-GB"/>
        </w:rPr>
        <w:t>Brown PC, Roediger (III) HL and McDaniel MA (2014) Make it Stick: The Science of Successful Learning. London: TJ Books.</w:t>
      </w:r>
    </w:p>
    <w:p w14:paraId="4D088DF7" w14:textId="77777777" w:rsidR="00E010EC" w:rsidRPr="00E010EC" w:rsidRDefault="00E010EC" w:rsidP="00E010EC">
      <w:pPr>
        <w:numPr>
          <w:ilvl w:val="0"/>
          <w:numId w:val="1"/>
        </w:numPr>
        <w:spacing w:before="100" w:beforeAutospacing="1" w:after="100" w:afterAutospacing="1" w:line="240" w:lineRule="auto"/>
        <w:textAlignment w:val="baseline"/>
        <w:rPr>
          <w:rFonts w:ascii="Arial" w:eastAsia="Times New Roman" w:hAnsi="Arial" w:cs="Arial"/>
          <w:color w:val="575757"/>
          <w:sz w:val="21"/>
          <w:szCs w:val="21"/>
          <w:lang w:eastAsia="en-GB"/>
        </w:rPr>
      </w:pPr>
      <w:r w:rsidRPr="00E010EC">
        <w:rPr>
          <w:rFonts w:ascii="Arial" w:eastAsia="Times New Roman" w:hAnsi="Arial" w:cs="Arial"/>
          <w:color w:val="575757"/>
          <w:sz w:val="21"/>
          <w:szCs w:val="21"/>
          <w:lang w:eastAsia="en-GB"/>
        </w:rPr>
        <w:t>Butterfield B and Metcalfe J (2001) Errors committed with high confidence are hyper corrected. Journal of Experimental Psychology: Learning, Memory, and Cognition 27: 1491–1494.</w:t>
      </w:r>
    </w:p>
    <w:p w14:paraId="5C3B1FC8" w14:textId="77777777" w:rsidR="00E010EC" w:rsidRPr="00E010EC" w:rsidRDefault="00E010EC" w:rsidP="00E010EC">
      <w:pPr>
        <w:numPr>
          <w:ilvl w:val="0"/>
          <w:numId w:val="1"/>
        </w:numPr>
        <w:spacing w:before="100" w:beforeAutospacing="1" w:after="100" w:afterAutospacing="1" w:line="240" w:lineRule="auto"/>
        <w:textAlignment w:val="baseline"/>
        <w:rPr>
          <w:rFonts w:ascii="Arial" w:eastAsia="Times New Roman" w:hAnsi="Arial" w:cs="Arial"/>
          <w:color w:val="575757"/>
          <w:sz w:val="21"/>
          <w:szCs w:val="21"/>
          <w:lang w:eastAsia="en-GB"/>
        </w:rPr>
      </w:pPr>
      <w:r w:rsidRPr="00E010EC">
        <w:rPr>
          <w:rFonts w:ascii="Arial" w:eastAsia="Times New Roman" w:hAnsi="Arial" w:cs="Arial"/>
          <w:color w:val="575757"/>
          <w:sz w:val="21"/>
          <w:szCs w:val="21"/>
          <w:lang w:eastAsia="en-GB"/>
        </w:rPr>
        <w:t>Carey B (2012) How We Learn. London: Macmillan.</w:t>
      </w:r>
    </w:p>
    <w:p w14:paraId="633F12CC" w14:textId="77777777" w:rsidR="00E010EC" w:rsidRPr="00E010EC" w:rsidRDefault="00E010EC" w:rsidP="00E010EC">
      <w:pPr>
        <w:numPr>
          <w:ilvl w:val="0"/>
          <w:numId w:val="1"/>
        </w:numPr>
        <w:spacing w:before="100" w:beforeAutospacing="1" w:after="100" w:afterAutospacing="1" w:line="240" w:lineRule="auto"/>
        <w:textAlignment w:val="baseline"/>
        <w:rPr>
          <w:rFonts w:ascii="Arial" w:eastAsia="Times New Roman" w:hAnsi="Arial" w:cs="Arial"/>
          <w:color w:val="575757"/>
          <w:sz w:val="21"/>
          <w:szCs w:val="21"/>
          <w:lang w:eastAsia="en-GB"/>
        </w:rPr>
      </w:pPr>
      <w:r w:rsidRPr="00E010EC">
        <w:rPr>
          <w:rFonts w:ascii="Arial" w:eastAsia="Times New Roman" w:hAnsi="Arial" w:cs="Arial"/>
          <w:color w:val="575757"/>
          <w:sz w:val="21"/>
          <w:szCs w:val="21"/>
          <w:lang w:eastAsia="en-GB"/>
        </w:rPr>
        <w:t>Conway M, Cohen G and Stanhope N (1991) On the very long-term retention of knowledge acquired through formal education: Twelve years of cognitive psychology. Journal of Experimental Psychology: General 120(4): 395–409.</w:t>
      </w:r>
    </w:p>
    <w:p w14:paraId="05C0FF78" w14:textId="77777777" w:rsidR="00E010EC" w:rsidRPr="00E010EC" w:rsidRDefault="00E010EC" w:rsidP="00E010EC">
      <w:pPr>
        <w:numPr>
          <w:ilvl w:val="0"/>
          <w:numId w:val="1"/>
        </w:numPr>
        <w:spacing w:before="100" w:beforeAutospacing="1" w:after="100" w:afterAutospacing="1" w:line="240" w:lineRule="auto"/>
        <w:textAlignment w:val="baseline"/>
        <w:rPr>
          <w:rFonts w:ascii="Arial" w:eastAsia="Times New Roman" w:hAnsi="Arial" w:cs="Arial"/>
          <w:color w:val="575757"/>
          <w:sz w:val="21"/>
          <w:szCs w:val="21"/>
          <w:lang w:eastAsia="en-GB"/>
        </w:rPr>
      </w:pPr>
      <w:proofErr w:type="spellStart"/>
      <w:r w:rsidRPr="00E010EC">
        <w:rPr>
          <w:rFonts w:ascii="Arial" w:eastAsia="Times New Roman" w:hAnsi="Arial" w:cs="Arial"/>
          <w:color w:val="575757"/>
          <w:sz w:val="21"/>
          <w:szCs w:val="21"/>
          <w:lang w:eastAsia="en-GB"/>
        </w:rPr>
        <w:t>Dehaene</w:t>
      </w:r>
      <w:proofErr w:type="spellEnd"/>
      <w:r w:rsidRPr="00E010EC">
        <w:rPr>
          <w:rFonts w:ascii="Arial" w:eastAsia="Times New Roman" w:hAnsi="Arial" w:cs="Arial"/>
          <w:color w:val="575757"/>
          <w:sz w:val="21"/>
          <w:szCs w:val="21"/>
          <w:lang w:eastAsia="en-GB"/>
        </w:rPr>
        <w:t xml:space="preserve"> S (2020) How We Learn: The New Science of Education and the Brain. London: Penguin.</w:t>
      </w:r>
    </w:p>
    <w:p w14:paraId="58154C86" w14:textId="77777777" w:rsidR="00E010EC" w:rsidRPr="00E010EC" w:rsidRDefault="00E010EC" w:rsidP="00E010EC">
      <w:pPr>
        <w:numPr>
          <w:ilvl w:val="0"/>
          <w:numId w:val="1"/>
        </w:numPr>
        <w:spacing w:before="100" w:beforeAutospacing="1" w:after="100" w:afterAutospacing="1" w:line="240" w:lineRule="auto"/>
        <w:textAlignment w:val="baseline"/>
        <w:rPr>
          <w:rFonts w:ascii="Arial" w:eastAsia="Times New Roman" w:hAnsi="Arial" w:cs="Arial"/>
          <w:color w:val="575757"/>
          <w:sz w:val="21"/>
          <w:szCs w:val="21"/>
          <w:lang w:eastAsia="en-GB"/>
        </w:rPr>
      </w:pPr>
      <w:proofErr w:type="spellStart"/>
      <w:r w:rsidRPr="00E010EC">
        <w:rPr>
          <w:rFonts w:ascii="Arial" w:eastAsia="Times New Roman" w:hAnsi="Arial" w:cs="Arial"/>
          <w:color w:val="575757"/>
          <w:sz w:val="21"/>
          <w:szCs w:val="21"/>
          <w:lang w:eastAsia="en-GB"/>
        </w:rPr>
        <w:t>Dunlosky</w:t>
      </w:r>
      <w:proofErr w:type="spellEnd"/>
      <w:r w:rsidRPr="00E010EC">
        <w:rPr>
          <w:rFonts w:ascii="Arial" w:eastAsia="Times New Roman" w:hAnsi="Arial" w:cs="Arial"/>
          <w:color w:val="575757"/>
          <w:sz w:val="21"/>
          <w:szCs w:val="21"/>
          <w:lang w:eastAsia="en-GB"/>
        </w:rPr>
        <w:t xml:space="preserve"> J, Rawson KA, Marsh EJ et al. (2015) What works, what doesn’t. Scientific American Mind 24(4): 46–53.</w:t>
      </w:r>
    </w:p>
    <w:p w14:paraId="442597C8" w14:textId="77777777" w:rsidR="00E010EC" w:rsidRPr="00E010EC" w:rsidRDefault="00E010EC" w:rsidP="00E010EC">
      <w:pPr>
        <w:numPr>
          <w:ilvl w:val="0"/>
          <w:numId w:val="1"/>
        </w:numPr>
        <w:spacing w:before="100" w:beforeAutospacing="1" w:after="100" w:afterAutospacing="1" w:line="240" w:lineRule="auto"/>
        <w:textAlignment w:val="baseline"/>
        <w:rPr>
          <w:rFonts w:ascii="Arial" w:eastAsia="Times New Roman" w:hAnsi="Arial" w:cs="Arial"/>
          <w:color w:val="575757"/>
          <w:sz w:val="21"/>
          <w:szCs w:val="21"/>
          <w:lang w:eastAsia="en-GB"/>
        </w:rPr>
      </w:pPr>
      <w:r w:rsidRPr="00E010EC">
        <w:rPr>
          <w:rFonts w:ascii="Arial" w:eastAsia="Times New Roman" w:hAnsi="Arial" w:cs="Arial"/>
          <w:color w:val="575757"/>
          <w:sz w:val="21"/>
          <w:szCs w:val="21"/>
          <w:lang w:eastAsia="en-GB"/>
        </w:rPr>
        <w:t>Hausmann R (2020) Cognitive Science for Educators. Florida: John Catt Educational.</w:t>
      </w:r>
    </w:p>
    <w:p w14:paraId="713CAB18" w14:textId="77777777" w:rsidR="00E010EC" w:rsidRPr="00E010EC" w:rsidRDefault="00E010EC" w:rsidP="00E010EC">
      <w:pPr>
        <w:numPr>
          <w:ilvl w:val="0"/>
          <w:numId w:val="1"/>
        </w:numPr>
        <w:spacing w:before="100" w:beforeAutospacing="1" w:after="100" w:afterAutospacing="1" w:line="240" w:lineRule="auto"/>
        <w:textAlignment w:val="baseline"/>
        <w:rPr>
          <w:rFonts w:ascii="Arial" w:eastAsia="Times New Roman" w:hAnsi="Arial" w:cs="Arial"/>
          <w:color w:val="575757"/>
          <w:sz w:val="21"/>
          <w:szCs w:val="21"/>
          <w:lang w:eastAsia="en-GB"/>
        </w:rPr>
      </w:pPr>
      <w:r w:rsidRPr="00E010EC">
        <w:rPr>
          <w:rFonts w:ascii="Arial" w:eastAsia="Times New Roman" w:hAnsi="Arial" w:cs="Arial"/>
          <w:color w:val="575757"/>
          <w:sz w:val="21"/>
          <w:szCs w:val="21"/>
          <w:lang w:eastAsia="en-GB"/>
        </w:rPr>
        <w:t>Jones K (2019) Retrieval Practice. Woodbridge: John Catt Educational.</w:t>
      </w:r>
    </w:p>
    <w:p w14:paraId="3F7CB6F3" w14:textId="77777777" w:rsidR="00E010EC" w:rsidRPr="00E010EC" w:rsidRDefault="00E010EC" w:rsidP="00E010EC">
      <w:pPr>
        <w:numPr>
          <w:ilvl w:val="0"/>
          <w:numId w:val="1"/>
        </w:numPr>
        <w:spacing w:before="100" w:beforeAutospacing="1" w:after="100" w:afterAutospacing="1" w:line="240" w:lineRule="auto"/>
        <w:textAlignment w:val="baseline"/>
        <w:rPr>
          <w:rFonts w:ascii="Arial" w:eastAsia="Times New Roman" w:hAnsi="Arial" w:cs="Arial"/>
          <w:color w:val="575757"/>
          <w:sz w:val="21"/>
          <w:szCs w:val="21"/>
          <w:lang w:eastAsia="en-GB"/>
        </w:rPr>
      </w:pPr>
      <w:r w:rsidRPr="00E010EC">
        <w:rPr>
          <w:rFonts w:ascii="Arial" w:eastAsia="Times New Roman" w:hAnsi="Arial" w:cs="Arial"/>
          <w:color w:val="575757"/>
          <w:sz w:val="21"/>
          <w:szCs w:val="21"/>
          <w:lang w:eastAsia="en-GB"/>
        </w:rPr>
        <w:t>Mitchell J (2016) 100 Ideas for Secondary Teachers: Revision. London: Bloomsbury.</w:t>
      </w:r>
    </w:p>
    <w:p w14:paraId="2E834C3D" w14:textId="77777777" w:rsidR="00E010EC" w:rsidRPr="00E010EC" w:rsidRDefault="00E010EC" w:rsidP="00E010EC">
      <w:pPr>
        <w:numPr>
          <w:ilvl w:val="0"/>
          <w:numId w:val="1"/>
        </w:numPr>
        <w:spacing w:before="100" w:beforeAutospacing="1" w:after="100" w:afterAutospacing="1" w:line="240" w:lineRule="auto"/>
        <w:textAlignment w:val="baseline"/>
        <w:rPr>
          <w:rFonts w:ascii="Arial" w:eastAsia="Times New Roman" w:hAnsi="Arial" w:cs="Arial"/>
          <w:color w:val="575757"/>
          <w:sz w:val="21"/>
          <w:szCs w:val="21"/>
          <w:lang w:eastAsia="en-GB"/>
        </w:rPr>
      </w:pPr>
      <w:r w:rsidRPr="00E010EC">
        <w:rPr>
          <w:rFonts w:ascii="Arial" w:eastAsia="Times New Roman" w:hAnsi="Arial" w:cs="Arial"/>
          <w:color w:val="575757"/>
          <w:sz w:val="21"/>
          <w:szCs w:val="21"/>
          <w:lang w:eastAsia="en-GB"/>
        </w:rPr>
        <w:t xml:space="preserve">Weinstein Y, </w:t>
      </w:r>
      <w:proofErr w:type="spellStart"/>
      <w:r w:rsidRPr="00E010EC">
        <w:rPr>
          <w:rFonts w:ascii="Arial" w:eastAsia="Times New Roman" w:hAnsi="Arial" w:cs="Arial"/>
          <w:color w:val="575757"/>
          <w:sz w:val="21"/>
          <w:szCs w:val="21"/>
          <w:lang w:eastAsia="en-GB"/>
        </w:rPr>
        <w:t>Sumeracki</w:t>
      </w:r>
      <w:proofErr w:type="spellEnd"/>
      <w:r w:rsidRPr="00E010EC">
        <w:rPr>
          <w:rFonts w:ascii="Arial" w:eastAsia="Times New Roman" w:hAnsi="Arial" w:cs="Arial"/>
          <w:color w:val="575757"/>
          <w:sz w:val="21"/>
          <w:szCs w:val="21"/>
          <w:lang w:eastAsia="en-GB"/>
        </w:rPr>
        <w:t xml:space="preserve"> M and </w:t>
      </w:r>
      <w:proofErr w:type="spellStart"/>
      <w:r w:rsidRPr="00E010EC">
        <w:rPr>
          <w:rFonts w:ascii="Arial" w:eastAsia="Times New Roman" w:hAnsi="Arial" w:cs="Arial"/>
          <w:color w:val="575757"/>
          <w:sz w:val="21"/>
          <w:szCs w:val="21"/>
          <w:lang w:eastAsia="en-GB"/>
        </w:rPr>
        <w:t>Caviglioli</w:t>
      </w:r>
      <w:proofErr w:type="spellEnd"/>
      <w:r w:rsidRPr="00E010EC">
        <w:rPr>
          <w:rFonts w:ascii="Arial" w:eastAsia="Times New Roman" w:hAnsi="Arial" w:cs="Arial"/>
          <w:color w:val="575757"/>
          <w:sz w:val="21"/>
          <w:szCs w:val="21"/>
          <w:lang w:eastAsia="en-GB"/>
        </w:rPr>
        <w:t xml:space="preserve"> O (2019) Understanding How We Learn. Abingdon: Routledge.</w:t>
      </w:r>
    </w:p>
    <w:p w14:paraId="7E109054" w14:textId="77777777" w:rsidR="00197EAD" w:rsidRPr="00E010EC" w:rsidRDefault="00197EAD" w:rsidP="00E010EC"/>
    <w:sectPr w:rsidR="00197EAD" w:rsidRPr="00E010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396784"/>
    <w:multiLevelType w:val="multilevel"/>
    <w:tmpl w:val="056E9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0EC"/>
    <w:rsid w:val="00197EAD"/>
    <w:rsid w:val="00E01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6E8EA"/>
  <w15:chartTrackingRefBased/>
  <w15:docId w15:val="{D301B508-BAFB-4598-A846-082BFEEDE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E010E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010E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E010EC"/>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010E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010EC"/>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E010EC"/>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E010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lossary-link">
    <w:name w:val="glossary-link"/>
    <w:basedOn w:val="DefaultParagraphFont"/>
    <w:rsid w:val="00E010EC"/>
  </w:style>
  <w:style w:type="character" w:styleId="Hyperlink">
    <w:name w:val="Hyperlink"/>
    <w:basedOn w:val="DefaultParagraphFont"/>
    <w:uiPriority w:val="99"/>
    <w:semiHidden/>
    <w:unhideWhenUsed/>
    <w:rsid w:val="00E010EC"/>
    <w:rPr>
      <w:color w:val="0000FF"/>
      <w:u w:val="single"/>
    </w:rPr>
  </w:style>
  <w:style w:type="paragraph" w:customStyle="1" w:styleId="dce-acf-repeater-item">
    <w:name w:val="dce-acf-repeater-item"/>
    <w:basedOn w:val="Normal"/>
    <w:rsid w:val="00E010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peater-item">
    <w:name w:val="repeater-item"/>
    <w:basedOn w:val="DefaultParagraphFont"/>
    <w:rsid w:val="00E010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5201875">
      <w:bodyDiv w:val="1"/>
      <w:marLeft w:val="0"/>
      <w:marRight w:val="0"/>
      <w:marTop w:val="0"/>
      <w:marBottom w:val="0"/>
      <w:divBdr>
        <w:top w:val="none" w:sz="0" w:space="0" w:color="auto"/>
        <w:left w:val="none" w:sz="0" w:space="0" w:color="auto"/>
        <w:bottom w:val="none" w:sz="0" w:space="0" w:color="auto"/>
        <w:right w:val="none" w:sz="0" w:space="0" w:color="auto"/>
      </w:divBdr>
      <w:divsChild>
        <w:div w:id="304431031">
          <w:marLeft w:val="0"/>
          <w:marRight w:val="0"/>
          <w:marTop w:val="0"/>
          <w:marBottom w:val="0"/>
          <w:divBdr>
            <w:top w:val="none" w:sz="0" w:space="0" w:color="auto"/>
            <w:left w:val="none" w:sz="0" w:space="0" w:color="auto"/>
            <w:bottom w:val="none" w:sz="0" w:space="0" w:color="auto"/>
            <w:right w:val="none" w:sz="0" w:space="0" w:color="auto"/>
          </w:divBdr>
          <w:divsChild>
            <w:div w:id="445853433">
              <w:marLeft w:val="0"/>
              <w:marRight w:val="0"/>
              <w:marTop w:val="0"/>
              <w:marBottom w:val="0"/>
              <w:divBdr>
                <w:top w:val="none" w:sz="0" w:space="0" w:color="auto"/>
                <w:left w:val="none" w:sz="0" w:space="0" w:color="auto"/>
                <w:bottom w:val="none" w:sz="0" w:space="0" w:color="auto"/>
                <w:right w:val="none" w:sz="0" w:space="0" w:color="auto"/>
              </w:divBdr>
            </w:div>
          </w:divsChild>
        </w:div>
        <w:div w:id="1135559017">
          <w:marLeft w:val="0"/>
          <w:marRight w:val="0"/>
          <w:marTop w:val="0"/>
          <w:marBottom w:val="0"/>
          <w:divBdr>
            <w:top w:val="none" w:sz="0" w:space="0" w:color="auto"/>
            <w:left w:val="none" w:sz="0" w:space="0" w:color="auto"/>
            <w:bottom w:val="none" w:sz="0" w:space="0" w:color="auto"/>
            <w:right w:val="none" w:sz="0" w:space="0" w:color="auto"/>
          </w:divBdr>
          <w:divsChild>
            <w:div w:id="1042822686">
              <w:marLeft w:val="0"/>
              <w:marRight w:val="0"/>
              <w:marTop w:val="0"/>
              <w:marBottom w:val="0"/>
              <w:divBdr>
                <w:top w:val="none" w:sz="0" w:space="0" w:color="auto"/>
                <w:left w:val="none" w:sz="0" w:space="0" w:color="auto"/>
                <w:bottom w:val="none" w:sz="0" w:space="0" w:color="auto"/>
                <w:right w:val="none" w:sz="0" w:space="0" w:color="auto"/>
              </w:divBdr>
              <w:divsChild>
                <w:div w:id="83618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chartered.college/glossary/cognitive-scienc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my.chartered.college/glossary/direct-instruction/" TargetMode="External"/><Relationship Id="rId4" Type="http://schemas.openxmlformats.org/officeDocument/2006/relationships/numbering" Target="numbering.xml"/><Relationship Id="rId9" Type="http://schemas.openxmlformats.org/officeDocument/2006/relationships/hyperlink" Target="https://my.chartered.college/glossary/interlea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F90AFA-8C27-4552-94C8-2205AE5FC825}"/>
</file>

<file path=customXml/itemProps2.xml><?xml version="1.0" encoding="utf-8"?>
<ds:datastoreItem xmlns:ds="http://schemas.openxmlformats.org/officeDocument/2006/customXml" ds:itemID="{9AF7E572-8013-498F-B646-87AEDFC9308D}">
  <ds:schemaRefs>
    <ds:schemaRef ds:uri="http://schemas.microsoft.com/sharepoint/v3/contenttype/forms"/>
  </ds:schemaRefs>
</ds:datastoreItem>
</file>

<file path=customXml/itemProps3.xml><?xml version="1.0" encoding="utf-8"?>
<ds:datastoreItem xmlns:ds="http://schemas.openxmlformats.org/officeDocument/2006/customXml" ds:itemID="{D83BE099-BD94-4735-9B27-536B4B88A4C6}">
  <ds:schemaRefs>
    <ds:schemaRef ds:uri="http://purl.org/dc/terms/"/>
    <ds:schemaRef ds:uri="40c436a9-000f-42d8-b782-73e5cddedcac"/>
    <ds:schemaRef ds:uri="http://schemas.microsoft.com/office/2006/documentManagement/types"/>
    <ds:schemaRef ds:uri="http://purl.org/dc/elements/1.1/"/>
    <ds:schemaRef ds:uri="http://schemas.microsoft.com/office/2006/metadata/properties"/>
    <ds:schemaRef ds:uri="http://purl.org/dc/dcmitype/"/>
    <ds:schemaRef ds:uri="http://schemas.microsoft.com/office/infopath/2007/PartnerControls"/>
    <ds:schemaRef ds:uri="http://schemas.openxmlformats.org/package/2006/metadata/core-properties"/>
    <ds:schemaRef ds:uri="86a65825-1d7f-4d1a-851b-817e472e971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1600</Words>
  <Characters>9125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St Ambrose College</Company>
  <LinksUpToDate>false</LinksUpToDate>
  <CharactersWithSpaces>10704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Taylor (St Ambrose College)</dc:creator>
  <cp:keywords/>
  <dc:description/>
  <cp:lastModifiedBy>Mrs L Taylor (St Ambrose College)</cp:lastModifiedBy>
  <cp:revision>1</cp:revision>
  <dcterms:created xsi:type="dcterms:W3CDTF">2024-02-21T08:17:00Z</dcterms:created>
  <dcterms:modified xsi:type="dcterms:W3CDTF">2024-02-21T08:24:00Z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