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627C4F47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 w:rsidR="002F0512">
        <w:rPr>
          <w:rFonts w:ascii="Comic Sans MS" w:hAnsi="Comic Sans MS"/>
          <w:b/>
          <w:u w:val="single"/>
        </w:rPr>
        <w:t xml:space="preserve"> 2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C96870">
        <w:rPr>
          <w:rFonts w:ascii="Comic Sans MS" w:hAnsi="Comic Sans MS"/>
          <w:b/>
          <w:u w:val="single"/>
        </w:rPr>
        <w:t>Accelerator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4106"/>
        <w:gridCol w:w="1276"/>
        <w:gridCol w:w="3827"/>
      </w:tblGrid>
      <w:tr w:rsidR="002F0512" w:rsidRPr="00CC1E3F" w14:paraId="04C7B4F0" w14:textId="04869B4A" w:rsidTr="002F0512">
        <w:trPr>
          <w:trHeight w:val="730"/>
        </w:trPr>
        <w:tc>
          <w:tcPr>
            <w:tcW w:w="4106" w:type="dxa"/>
            <w:vMerge w:val="restart"/>
          </w:tcPr>
          <w:p w14:paraId="3E302D9E" w14:textId="77777777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F0512" w:rsidRPr="00A15507" w:rsidRDefault="002F0512" w:rsidP="002F051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3827" w:type="dxa"/>
          </w:tcPr>
          <w:p w14:paraId="135AA4AC" w14:textId="028E14EE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Independent Learning</w:t>
            </w:r>
          </w:p>
        </w:tc>
      </w:tr>
      <w:tr w:rsidR="002F0512" w:rsidRPr="00CC1E3F" w14:paraId="3434EFDA" w14:textId="77777777" w:rsidTr="002F0512">
        <w:trPr>
          <w:trHeight w:val="40"/>
        </w:trPr>
        <w:tc>
          <w:tcPr>
            <w:tcW w:w="4106" w:type="dxa"/>
            <w:vMerge/>
          </w:tcPr>
          <w:p w14:paraId="3A57DC89" w14:textId="77777777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6E4CD9A" w14:textId="4A23FCF0" w:rsidR="002F0512" w:rsidRPr="002D6682" w:rsidRDefault="002F0512" w:rsidP="002F0512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Corbett Maths</w:t>
            </w:r>
            <w:r w:rsidR="00442B65">
              <w:rPr>
                <w:rFonts w:ascii="Comic Sans MS" w:hAnsi="Comic Sans MS"/>
                <w:b/>
                <w:bCs/>
              </w:rPr>
              <w:t>/Maths Society</w:t>
            </w:r>
          </w:p>
        </w:tc>
      </w:tr>
      <w:tr w:rsidR="002F0512" w:rsidRPr="00CC1E3F" w14:paraId="5BD68260" w14:textId="77777777" w:rsidTr="002F0512">
        <w:trPr>
          <w:trHeight w:val="40"/>
        </w:trPr>
        <w:tc>
          <w:tcPr>
            <w:tcW w:w="4106" w:type="dxa"/>
          </w:tcPr>
          <w:p w14:paraId="0D4D4665" w14:textId="77777777" w:rsidR="002F0512" w:rsidRPr="002F0512" w:rsidRDefault="002F0512" w:rsidP="002F0512">
            <w:pPr>
              <w:rPr>
                <w:rFonts w:ascii="Comic Sans MS" w:hAnsi="Comic Sans MS"/>
                <w:b/>
                <w:u w:val="single"/>
              </w:rPr>
            </w:pPr>
            <w:r w:rsidRPr="002F0512">
              <w:rPr>
                <w:rFonts w:ascii="Comic Sans MS" w:hAnsi="Comic Sans MS"/>
                <w:b/>
                <w:u w:val="single"/>
              </w:rPr>
              <w:t>The binomial expansion</w:t>
            </w:r>
          </w:p>
          <w:p w14:paraId="7FD49FE9" w14:textId="68925566" w:rsidR="002F0512" w:rsidRPr="002D6682" w:rsidRDefault="002F0512" w:rsidP="002F0512">
            <w:pPr>
              <w:rPr>
                <w:rFonts w:ascii="Comic Sans MS" w:hAnsi="Comic Sans MS"/>
                <w:b/>
                <w:bCs/>
              </w:rPr>
            </w:pPr>
            <w:r w:rsidRPr="002F0512">
              <w:rPr>
                <w:rFonts w:ascii="Comic Sans MS" w:hAnsi="Comic Sans MS"/>
              </w:rPr>
              <w:t xml:space="preserve"> </w:t>
            </w:r>
            <w:r w:rsidRPr="002F0512">
              <w:rPr>
                <w:rFonts w:ascii="Comic Sans MS" w:hAnsi="Comic Sans MS" w:cs="Arial"/>
                <w:color w:val="231F20"/>
                <w:lang w:eastAsia="en-GB"/>
              </w:rPr>
              <w:t>Expand (</w:t>
            </w:r>
            <w:r w:rsidRPr="002F0512">
              <w:rPr>
                <w:rFonts w:ascii="Comic Sans MS" w:hAnsi="Comic Sans MS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a </w:t>
            </w:r>
            <w:r w:rsidRPr="002F0512">
              <w:rPr>
                <w:rFonts w:ascii="Comic Sans MS" w:hAnsi="Comic Sans MS"/>
                <w:color w:val="231F20"/>
                <w:sz w:val="24"/>
                <w:szCs w:val="24"/>
                <w:lang w:eastAsia="en-GB"/>
              </w:rPr>
              <w:t xml:space="preserve">+ </w:t>
            </w:r>
            <w:r w:rsidRPr="002F0512">
              <w:rPr>
                <w:rFonts w:ascii="Comic Sans MS" w:hAnsi="Comic Sans MS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>b</w:t>
            </w:r>
            <w:r w:rsidRPr="002F0512">
              <w:rPr>
                <w:rFonts w:ascii="Comic Sans MS" w:hAnsi="Comic Sans MS" w:cs="Arial"/>
                <w:color w:val="231F20"/>
                <w:lang w:eastAsia="en-GB"/>
              </w:rPr>
              <w:t>)</w:t>
            </w:r>
            <w:r w:rsidRPr="002F0512">
              <w:rPr>
                <w:rFonts w:ascii="Comic Sans MS" w:hAnsi="Comic Sans MS" w:cs="TimesNewRomanPS-ItalicMT"/>
                <w:i/>
                <w:iCs/>
                <w:color w:val="231F20"/>
                <w:sz w:val="24"/>
                <w:szCs w:val="24"/>
                <w:vertAlign w:val="superscript"/>
                <w:lang w:eastAsia="en-GB"/>
              </w:rPr>
              <w:t>n</w:t>
            </w:r>
            <w:r w:rsidRPr="002F0512">
              <w:rPr>
                <w:rFonts w:ascii="Comic Sans MS" w:hAnsi="Comic Sans MS" w:cs="TimesNewRomanPS-ItalicMT"/>
                <w:i/>
                <w:iCs/>
                <w:color w:val="231F20"/>
                <w:sz w:val="16"/>
                <w:szCs w:val="16"/>
                <w:lang w:eastAsia="en-GB"/>
              </w:rPr>
              <w:t xml:space="preserve"> </w:t>
            </w:r>
            <w:r w:rsidRPr="002F0512">
              <w:rPr>
                <w:rFonts w:ascii="Comic Sans MS" w:hAnsi="Comic Sans MS" w:cs="Arial"/>
                <w:color w:val="231F20"/>
                <w:lang w:eastAsia="en-GB"/>
              </w:rPr>
              <w:t xml:space="preserve">for positive integer </w:t>
            </w:r>
            <w:r w:rsidRPr="002F0512">
              <w:rPr>
                <w:rFonts w:ascii="Comic Sans MS" w:hAnsi="Comic Sans MS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1276" w:type="dxa"/>
          </w:tcPr>
          <w:p w14:paraId="1B07A306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322238B0" w14:textId="00D7A467" w:rsidR="002F0512" w:rsidRDefault="002F0512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2F0512">
              <w:rPr>
                <w:rFonts w:ascii="Comic Sans MS" w:hAnsi="Comic Sans MS"/>
                <w:sz w:val="20"/>
                <w:szCs w:val="20"/>
              </w:rPr>
              <w:t>https://corbettmaths.com/2019/11/20/expanding-brackets-using-pascals-triangle/</w:t>
            </w:r>
          </w:p>
        </w:tc>
      </w:tr>
      <w:tr w:rsidR="002F0512" w:rsidRPr="00CC1E3F" w14:paraId="29899881" w14:textId="77777777" w:rsidTr="002F0512">
        <w:trPr>
          <w:trHeight w:val="40"/>
        </w:trPr>
        <w:tc>
          <w:tcPr>
            <w:tcW w:w="4106" w:type="dxa"/>
          </w:tcPr>
          <w:p w14:paraId="4241C4A9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The product rule for counting</w:t>
            </w:r>
          </w:p>
          <w:p w14:paraId="70225F6F" w14:textId="77777777" w:rsidR="002F0512" w:rsidRDefault="002F0512" w:rsidP="002F0512">
            <w:pPr>
              <w:autoSpaceDE w:val="0"/>
              <w:autoSpaceDN w:val="0"/>
              <w:adjustRightInd w:val="0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Example Work out how many 5-digit odd numbers can be</w:t>
            </w:r>
          </w:p>
          <w:p w14:paraId="1446EC85" w14:textId="71B40F92" w:rsidR="002F0512" w:rsidRPr="002F0512" w:rsidRDefault="002F0512" w:rsidP="002F0512">
            <w:pPr>
              <w:rPr>
                <w:rFonts w:ascii="Comic Sans MS" w:hAnsi="Comic Sans MS"/>
                <w:highlight w:val="yellow"/>
              </w:rPr>
            </w:pPr>
            <w:r>
              <w:rPr>
                <w:rFonts w:ascii="Arial" w:hAnsi="Arial" w:cs="Arial"/>
                <w:lang w:eastAsia="en-GB"/>
              </w:rPr>
              <w:t>formed using the digits 1 3 4 6 8 with no repetition of any digit</w:t>
            </w:r>
          </w:p>
        </w:tc>
        <w:tc>
          <w:tcPr>
            <w:tcW w:w="1276" w:type="dxa"/>
          </w:tcPr>
          <w:p w14:paraId="7FEC56D2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8CBB272" w14:textId="6BA800A2" w:rsidR="002F0512" w:rsidRPr="002F0512" w:rsidRDefault="002F0512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2F0512">
              <w:rPr>
                <w:rFonts w:ascii="Comic Sans MS" w:hAnsi="Comic Sans MS"/>
                <w:sz w:val="20"/>
                <w:szCs w:val="20"/>
              </w:rPr>
              <w:t>https://corbettmaths.com/2016/09/18/17416/</w:t>
            </w:r>
          </w:p>
        </w:tc>
      </w:tr>
      <w:tr w:rsidR="002F0512" w:rsidRPr="00CC1E3F" w14:paraId="6F3FDE04" w14:textId="77777777" w:rsidTr="002F0512">
        <w:trPr>
          <w:trHeight w:val="40"/>
        </w:trPr>
        <w:tc>
          <w:tcPr>
            <w:tcW w:w="4106" w:type="dxa"/>
          </w:tcPr>
          <w:p w14:paraId="76942B64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Factorising</w:t>
            </w:r>
          </w:p>
          <w:p w14:paraId="2D5194B7" w14:textId="77777777" w:rsidR="002F0512" w:rsidRPr="0021568E" w:rsidRDefault="002F0512" w:rsidP="002F0512">
            <w:pPr>
              <w:rPr>
                <w:rFonts w:ascii="Arial" w:hAnsi="Arial"/>
                <w:vertAlign w:val="superscript"/>
              </w:rPr>
            </w:pPr>
            <w:r>
              <w:rPr>
                <w:rFonts w:ascii="Arial" w:hAnsi="Arial"/>
              </w:rPr>
              <w:t xml:space="preserve">Example </w:t>
            </w:r>
            <w:r w:rsidRPr="0021568E">
              <w:rPr>
                <w:rFonts w:ascii="Arial" w:hAnsi="Arial"/>
              </w:rPr>
              <w:t>Factorise fully (2x + 3)</w:t>
            </w:r>
            <w:r w:rsidRPr="0021568E">
              <w:rPr>
                <w:rFonts w:ascii="Arial" w:hAnsi="Arial"/>
                <w:vertAlign w:val="superscript"/>
              </w:rPr>
              <w:t>2</w:t>
            </w:r>
            <w:r w:rsidRPr="0021568E">
              <w:rPr>
                <w:rFonts w:ascii="Arial" w:hAnsi="Arial"/>
              </w:rPr>
              <w:t xml:space="preserve"> – (2x – 5)</w:t>
            </w:r>
            <w:r w:rsidRPr="0021568E">
              <w:rPr>
                <w:rFonts w:ascii="Arial" w:hAnsi="Arial"/>
                <w:vertAlign w:val="superscript"/>
              </w:rPr>
              <w:t>2</w:t>
            </w:r>
          </w:p>
          <w:p w14:paraId="2DC2EDD9" w14:textId="77777777" w:rsidR="002F0512" w:rsidRPr="0021568E" w:rsidRDefault="002F0512" w:rsidP="002F0512">
            <w:pPr>
              <w:rPr>
                <w:rFonts w:ascii="Arial" w:hAnsi="Arial"/>
              </w:rPr>
            </w:pPr>
            <w:r w:rsidRPr="0021568E">
              <w:rPr>
                <w:rFonts w:ascii="Arial" w:hAnsi="Arial"/>
              </w:rPr>
              <w:t>Factorise 15x</w:t>
            </w:r>
            <w:r w:rsidRPr="0021568E">
              <w:rPr>
                <w:rFonts w:ascii="Arial" w:hAnsi="Arial"/>
                <w:vertAlign w:val="superscript"/>
              </w:rPr>
              <w:t>2</w:t>
            </w:r>
            <w:r w:rsidRPr="0021568E">
              <w:rPr>
                <w:rFonts w:ascii="Arial" w:hAnsi="Arial"/>
              </w:rPr>
              <w:t>– 34xy – 16y</w:t>
            </w:r>
            <w:r w:rsidRPr="0021568E">
              <w:rPr>
                <w:rFonts w:ascii="Arial" w:hAnsi="Arial"/>
                <w:vertAlign w:val="superscript"/>
              </w:rPr>
              <w:t>2</w:t>
            </w:r>
          </w:p>
          <w:p w14:paraId="2A2B6E9B" w14:textId="77777777" w:rsidR="002F0512" w:rsidRDefault="002F0512" w:rsidP="002F0512">
            <w:pPr>
              <w:rPr>
                <w:rFonts w:ascii="Arial" w:hAnsi="Arial"/>
              </w:rPr>
            </w:pPr>
            <w:r w:rsidRPr="0021568E">
              <w:rPr>
                <w:rFonts w:ascii="Arial" w:hAnsi="Arial"/>
              </w:rPr>
              <w:t>Factorise fully x</w:t>
            </w:r>
            <w:r w:rsidRPr="0021568E">
              <w:rPr>
                <w:rFonts w:ascii="Arial" w:hAnsi="Arial"/>
                <w:vertAlign w:val="superscript"/>
              </w:rPr>
              <w:t>4</w:t>
            </w:r>
            <w:r w:rsidRPr="0021568E">
              <w:rPr>
                <w:rFonts w:ascii="Arial" w:hAnsi="Arial"/>
              </w:rPr>
              <w:t xml:space="preserve"> – 25x</w:t>
            </w:r>
            <w:r w:rsidRPr="0021568E">
              <w:rPr>
                <w:rFonts w:ascii="Arial" w:hAnsi="Arial"/>
                <w:vertAlign w:val="superscript"/>
              </w:rPr>
              <w:t>2</w:t>
            </w:r>
          </w:p>
          <w:p w14:paraId="2F5ABE1A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473BC2A9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07D7534D" w14:textId="0565785D" w:rsid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https://www.mathsociety.org.uk/gcsefurthermaths</w:t>
              </w:r>
            </w:hyperlink>
          </w:p>
          <w:p w14:paraId="5AA7B7B7" w14:textId="59897AC1" w:rsidR="00442B65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F0512" w:rsidRPr="00CC1E3F" w14:paraId="508CF3F4" w14:textId="77777777" w:rsidTr="002F0512">
        <w:trPr>
          <w:trHeight w:val="40"/>
        </w:trPr>
        <w:tc>
          <w:tcPr>
            <w:tcW w:w="4106" w:type="dxa"/>
          </w:tcPr>
          <w:p w14:paraId="65EA92A3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Rearranging formulae</w:t>
            </w:r>
          </w:p>
          <w:p w14:paraId="2BC19209" w14:textId="4A1C2D7C" w:rsidR="002F0512" w:rsidRPr="002F0512" w:rsidRDefault="002F0512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Subject appears twice.</w:t>
            </w:r>
          </w:p>
        </w:tc>
        <w:tc>
          <w:tcPr>
            <w:tcW w:w="1276" w:type="dxa"/>
          </w:tcPr>
          <w:p w14:paraId="3C0C2043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383E7EA3" w14:textId="41A28A7B" w:rsidR="002F0512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442B65">
              <w:rPr>
                <w:rFonts w:ascii="Comic Sans MS" w:hAnsi="Comic Sans MS"/>
                <w:sz w:val="20"/>
                <w:szCs w:val="20"/>
              </w:rPr>
              <w:t>https://corbettmaths.com/2019/11/28/fm-changing-the-subject-video/</w:t>
            </w:r>
          </w:p>
        </w:tc>
      </w:tr>
      <w:tr w:rsidR="002F0512" w:rsidRPr="00CC1E3F" w14:paraId="7AAADCCF" w14:textId="77777777" w:rsidTr="002F0512">
        <w:trPr>
          <w:trHeight w:val="40"/>
        </w:trPr>
        <w:tc>
          <w:tcPr>
            <w:tcW w:w="4106" w:type="dxa"/>
          </w:tcPr>
          <w:p w14:paraId="26501BC1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Simplifying algebraic fractions</w:t>
            </w:r>
          </w:p>
          <w:p w14:paraId="7651CF39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3B87BE82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61A4645B" w14:textId="52B12C14" w:rsidR="002F0512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442B65">
              <w:rPr>
                <w:rFonts w:ascii="Comic Sans MS" w:hAnsi="Comic Sans MS"/>
                <w:sz w:val="20"/>
                <w:szCs w:val="20"/>
              </w:rPr>
              <w:t>https://corbettmaths.com/2015/12/07/equations-involving-algebraic-fractions-advanced/</w:t>
            </w:r>
          </w:p>
        </w:tc>
      </w:tr>
      <w:tr w:rsidR="002F0512" w:rsidRPr="00CC1E3F" w14:paraId="0B529885" w14:textId="77777777" w:rsidTr="002F0512">
        <w:trPr>
          <w:trHeight w:val="40"/>
        </w:trPr>
        <w:tc>
          <w:tcPr>
            <w:tcW w:w="4106" w:type="dxa"/>
          </w:tcPr>
          <w:p w14:paraId="058ADEB4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Solving linear equations involving fractions</w:t>
            </w:r>
          </w:p>
          <w:p w14:paraId="7002C496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353CA52E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7299A4C2" w14:textId="4E64E243" w:rsidR="002F0512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442B65">
              <w:rPr>
                <w:rFonts w:ascii="Comic Sans MS" w:hAnsi="Comic Sans MS"/>
                <w:sz w:val="20"/>
                <w:szCs w:val="20"/>
              </w:rPr>
              <w:t>https://corbettmaths.com/2019/12/31/equations-involving-indices-video/</w:t>
            </w:r>
          </w:p>
        </w:tc>
      </w:tr>
      <w:tr w:rsidR="002F0512" w:rsidRPr="00CC1E3F" w14:paraId="5017F206" w14:textId="77777777" w:rsidTr="002F0512">
        <w:trPr>
          <w:trHeight w:val="40"/>
        </w:trPr>
        <w:tc>
          <w:tcPr>
            <w:tcW w:w="4106" w:type="dxa"/>
          </w:tcPr>
          <w:p w14:paraId="3ACCA917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 xml:space="preserve">Completing the Square </w:t>
            </w:r>
          </w:p>
          <w:p w14:paraId="3CD817B0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491190BB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41EA2EF3" w14:textId="3B86871C" w:rsidR="002F0512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442B65">
              <w:rPr>
                <w:rFonts w:ascii="Comic Sans MS" w:hAnsi="Comic Sans MS"/>
                <w:sz w:val="20"/>
                <w:szCs w:val="20"/>
              </w:rPr>
              <w:t>https://corbettmaths.com/2019/04/24/harder-completing-the-square/</w:t>
            </w:r>
          </w:p>
        </w:tc>
      </w:tr>
      <w:tr w:rsidR="002F0512" w:rsidRPr="00CC1E3F" w14:paraId="5052076D" w14:textId="77777777" w:rsidTr="002F0512">
        <w:trPr>
          <w:trHeight w:val="40"/>
        </w:trPr>
        <w:tc>
          <w:tcPr>
            <w:tcW w:w="4106" w:type="dxa"/>
          </w:tcPr>
          <w:p w14:paraId="4DFE460C" w14:textId="77777777" w:rsid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Equation of a line</w:t>
            </w:r>
          </w:p>
          <w:p w14:paraId="4170006D" w14:textId="77777777" w:rsidR="002F0512" w:rsidRPr="002F0512" w:rsidRDefault="002F0512" w:rsidP="002F0512">
            <w:pPr>
              <w:rPr>
                <w:rFonts w:ascii="Arial" w:hAnsi="Arial"/>
              </w:rPr>
            </w:pPr>
            <w:r w:rsidRPr="002F0512">
              <w:rPr>
                <w:rFonts w:ascii="Arial" w:hAnsi="Arial"/>
              </w:rPr>
              <w:t xml:space="preserve">The equation of a straight line  </w:t>
            </w:r>
            <w:r w:rsidRPr="002F0512">
              <w:rPr>
                <w:rFonts w:ascii="Arial" w:hAnsi="Arial"/>
                <w:i/>
                <w:iCs/>
              </w:rPr>
              <w:t xml:space="preserve">y </w:t>
            </w:r>
            <w:r w:rsidRPr="002F0512">
              <w:rPr>
                <w:rFonts w:ascii="Arial" w:hAnsi="Arial"/>
              </w:rPr>
              <w:t xml:space="preserve">= </w:t>
            </w:r>
            <w:r w:rsidRPr="002F0512">
              <w:rPr>
                <w:rFonts w:ascii="Arial" w:hAnsi="Arial"/>
                <w:i/>
                <w:iCs/>
              </w:rPr>
              <w:t xml:space="preserve">mx </w:t>
            </w:r>
            <w:r w:rsidRPr="002F0512">
              <w:rPr>
                <w:rFonts w:ascii="Arial" w:hAnsi="Arial"/>
              </w:rPr>
              <w:t xml:space="preserve">+ </w:t>
            </w:r>
            <w:r w:rsidRPr="002F0512">
              <w:rPr>
                <w:rFonts w:ascii="Arial" w:hAnsi="Arial"/>
                <w:i/>
                <w:iCs/>
              </w:rPr>
              <w:t xml:space="preserve">c </w:t>
            </w:r>
            <w:r w:rsidRPr="002F0512">
              <w:rPr>
                <w:rFonts w:ascii="Arial" w:hAnsi="Arial"/>
              </w:rPr>
              <w:t xml:space="preserve">and </w:t>
            </w:r>
            <w:r w:rsidRPr="002F0512">
              <w:rPr>
                <w:rFonts w:ascii="Arial" w:hAnsi="Arial"/>
                <w:i/>
                <w:iCs/>
              </w:rPr>
              <w:t xml:space="preserve">y </w:t>
            </w:r>
            <w:r w:rsidRPr="002F0512">
              <w:rPr>
                <w:rFonts w:ascii="Arial" w:hAnsi="Arial"/>
              </w:rPr>
              <w:t xml:space="preserve">– </w:t>
            </w:r>
            <w:r w:rsidRPr="002F0512">
              <w:rPr>
                <w:rFonts w:ascii="Arial" w:hAnsi="Arial"/>
                <w:i/>
                <w:iCs/>
              </w:rPr>
              <w:t>y</w:t>
            </w:r>
            <w:r w:rsidRPr="002F0512">
              <w:rPr>
                <w:rFonts w:ascii="Arial" w:hAnsi="Arial"/>
                <w:vertAlign w:val="subscript"/>
              </w:rPr>
              <w:t>1</w:t>
            </w:r>
            <w:r w:rsidRPr="002F0512">
              <w:rPr>
                <w:rFonts w:ascii="Arial" w:hAnsi="Arial"/>
              </w:rPr>
              <w:t xml:space="preserve"> = </w:t>
            </w:r>
            <w:r w:rsidRPr="002F0512">
              <w:rPr>
                <w:rFonts w:ascii="Arial" w:hAnsi="Arial"/>
                <w:i/>
                <w:iCs/>
              </w:rPr>
              <w:t xml:space="preserve">m </w:t>
            </w:r>
            <w:r w:rsidRPr="002F0512">
              <w:rPr>
                <w:rFonts w:ascii="Arial" w:hAnsi="Arial"/>
              </w:rPr>
              <w:t>(</w:t>
            </w:r>
            <w:r w:rsidRPr="002F0512">
              <w:rPr>
                <w:rFonts w:ascii="Arial" w:hAnsi="Arial"/>
                <w:i/>
                <w:iCs/>
              </w:rPr>
              <w:t xml:space="preserve">x </w:t>
            </w:r>
            <w:r w:rsidRPr="002F0512">
              <w:rPr>
                <w:rFonts w:ascii="Arial" w:hAnsi="Arial"/>
              </w:rPr>
              <w:t xml:space="preserve">– </w:t>
            </w:r>
            <w:r w:rsidRPr="002F0512">
              <w:rPr>
                <w:rFonts w:ascii="Arial" w:hAnsi="Arial"/>
                <w:i/>
                <w:iCs/>
              </w:rPr>
              <w:t>x</w:t>
            </w:r>
            <w:r w:rsidRPr="002F0512">
              <w:rPr>
                <w:rFonts w:ascii="Arial" w:hAnsi="Arial"/>
                <w:vertAlign w:val="subscript"/>
              </w:rPr>
              <w:t>1</w:t>
            </w:r>
            <w:r w:rsidRPr="002F0512">
              <w:rPr>
                <w:rFonts w:ascii="Arial" w:hAnsi="Arial"/>
              </w:rPr>
              <w:t xml:space="preserve">) and other forms, Including interpretation of the gradient and </w:t>
            </w:r>
            <w:r w:rsidRPr="002F0512">
              <w:rPr>
                <w:rFonts w:ascii="Arial" w:hAnsi="Arial"/>
                <w:i/>
                <w:iCs/>
              </w:rPr>
              <w:t>y-</w:t>
            </w:r>
            <w:r w:rsidRPr="002F0512">
              <w:rPr>
                <w:rFonts w:ascii="Arial" w:hAnsi="Arial"/>
              </w:rPr>
              <w:t>intercept from the equation</w:t>
            </w:r>
          </w:p>
          <w:p w14:paraId="28B3D84A" w14:textId="767DAA61" w:rsidR="002F0512" w:rsidRPr="002F0512" w:rsidRDefault="002F0512" w:rsidP="002F0512">
            <w:pPr>
              <w:rPr>
                <w:rFonts w:ascii="Arial" w:hAnsi="Arial"/>
              </w:rPr>
            </w:pPr>
          </w:p>
        </w:tc>
        <w:tc>
          <w:tcPr>
            <w:tcW w:w="1276" w:type="dxa"/>
          </w:tcPr>
          <w:p w14:paraId="167D4FD9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606CFDD0" w14:textId="23A53CC8" w:rsidR="002F0512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442B65">
              <w:rPr>
                <w:rFonts w:ascii="Comic Sans MS" w:hAnsi="Comic Sans MS"/>
                <w:sz w:val="20"/>
                <w:szCs w:val="20"/>
              </w:rPr>
              <w:t>https://corbettmaths.com/2019/12/31/equation-of-a-line-video/</w:t>
            </w:r>
          </w:p>
        </w:tc>
      </w:tr>
      <w:tr w:rsidR="002F0512" w:rsidRPr="00CC1E3F" w14:paraId="60D1D87C" w14:textId="77777777" w:rsidTr="002F0512">
        <w:trPr>
          <w:trHeight w:val="40"/>
        </w:trPr>
        <w:tc>
          <w:tcPr>
            <w:tcW w:w="4106" w:type="dxa"/>
          </w:tcPr>
          <w:p w14:paraId="7696B3B3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 w:rsidRPr="002F0512">
              <w:rPr>
                <w:rFonts w:ascii="Arial" w:hAnsi="Arial"/>
                <w:b/>
                <w:u w:val="single"/>
              </w:rPr>
              <w:t>Graphs of exponential functions</w:t>
            </w:r>
          </w:p>
          <w:p w14:paraId="0E78DB82" w14:textId="77777777" w:rsidR="002F0512" w:rsidRDefault="002F0512" w:rsidP="002F0512">
            <w:pPr>
              <w:autoSpaceDE w:val="0"/>
              <w:autoSpaceDN w:val="0"/>
              <w:adjustRightInd w:val="0"/>
              <w:rPr>
                <w:rFonts w:ascii="Arial" w:hAnsi="Arial" w:cs="Arial"/>
                <w:color w:val="231F20"/>
                <w:lang w:eastAsia="en-GB"/>
              </w:rPr>
            </w:pPr>
            <w:r>
              <w:rPr>
                <w:rFonts w:ascii="Arial" w:hAnsi="Arial" w:cs="Arial"/>
                <w:color w:val="231F20"/>
                <w:lang w:eastAsia="en-GB"/>
              </w:rPr>
              <w:t xml:space="preserve">Exponential graphs will be of the form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y </w:t>
            </w:r>
            <w:r>
              <w:rPr>
                <w:rFonts w:ascii="Calibri" w:hAnsi="Calibri" w:cs="Calibri"/>
                <w:color w:val="231F20"/>
                <w:sz w:val="24"/>
                <w:szCs w:val="24"/>
                <w:lang w:eastAsia="en-GB"/>
              </w:rPr>
              <w:t xml:space="preserve">=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>ab</w:t>
            </w:r>
            <w:r w:rsidRPr="002076B9">
              <w:rPr>
                <w:rFonts w:ascii="TimesNewRomanPS-ItalicMT" w:hAnsi="TimesNewRomanPS-ItalicMT" w:cs="TimesNewRomanPS-ItalicMT"/>
                <w:i/>
                <w:iCs/>
                <w:color w:val="231F20"/>
                <w:sz w:val="32"/>
                <w:szCs w:val="32"/>
                <w:vertAlign w:val="superscript"/>
                <w:lang w:eastAsia="en-GB"/>
              </w:rPr>
              <w:t>x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Arial" w:hAnsi="Arial" w:cs="Arial"/>
                <w:color w:val="231F20"/>
                <w:lang w:eastAsia="en-GB"/>
              </w:rPr>
              <w:t xml:space="preserve">and 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y </w:t>
            </w:r>
            <w:r>
              <w:rPr>
                <w:rFonts w:ascii="Calibri" w:hAnsi="Calibri" w:cs="Calibri"/>
                <w:color w:val="231F20"/>
                <w:sz w:val="24"/>
                <w:szCs w:val="24"/>
                <w:lang w:eastAsia="en-GB"/>
              </w:rPr>
              <w:t xml:space="preserve">=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>ab</w:t>
            </w:r>
            <w:r w:rsidRPr="002076B9">
              <w:rPr>
                <w:rFonts w:ascii="Arial" w:hAnsi="Arial" w:cs="Arial"/>
                <w:color w:val="231F20"/>
                <w:sz w:val="28"/>
                <w:szCs w:val="28"/>
                <w:vertAlign w:val="superscript"/>
                <w:lang w:eastAsia="en-GB"/>
              </w:rPr>
              <w:t>-</w:t>
            </w:r>
            <w:r w:rsidRPr="002076B9">
              <w:rPr>
                <w:rFonts w:ascii="TimesNewRomanPS-ItalicMT" w:hAnsi="TimesNewRomanPS-ItalicMT" w:cs="TimesNewRomanPS-ItalicMT"/>
                <w:i/>
                <w:iCs/>
                <w:color w:val="231F20"/>
                <w:sz w:val="28"/>
                <w:szCs w:val="28"/>
                <w:vertAlign w:val="superscript"/>
                <w:lang w:eastAsia="en-GB"/>
              </w:rPr>
              <w:t>x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, </w:t>
            </w:r>
            <w:r>
              <w:rPr>
                <w:rFonts w:ascii="Arial" w:hAnsi="Arial" w:cs="Arial"/>
                <w:color w:val="231F20"/>
                <w:lang w:eastAsia="en-GB"/>
              </w:rPr>
              <w:t xml:space="preserve">where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a </w:t>
            </w:r>
            <w:r>
              <w:rPr>
                <w:rFonts w:ascii="Arial" w:hAnsi="Arial" w:cs="Arial"/>
                <w:color w:val="231F20"/>
                <w:lang w:eastAsia="en-GB"/>
              </w:rPr>
              <w:t xml:space="preserve">and </w:t>
            </w:r>
            <w:r>
              <w:rPr>
                <w:rFonts w:ascii="TimesNewRomanPS-ItalicMT" w:hAnsi="TimesNewRomanPS-ItalicMT" w:cs="TimesNewRomanPS-ItalicMT"/>
                <w:i/>
                <w:iCs/>
                <w:color w:val="231F20"/>
                <w:sz w:val="24"/>
                <w:szCs w:val="24"/>
                <w:lang w:eastAsia="en-GB"/>
              </w:rPr>
              <w:t xml:space="preserve">b </w:t>
            </w:r>
            <w:r>
              <w:rPr>
                <w:rFonts w:ascii="Arial" w:hAnsi="Arial" w:cs="Arial"/>
                <w:color w:val="231F20"/>
                <w:lang w:eastAsia="en-GB"/>
              </w:rPr>
              <w:t>are rational numbers</w:t>
            </w:r>
          </w:p>
          <w:p w14:paraId="785F3EE6" w14:textId="77777777" w:rsidR="002F0512" w:rsidRPr="002F0512" w:rsidRDefault="002F0512" w:rsidP="002F0512">
            <w:pPr>
              <w:rPr>
                <w:rFonts w:ascii="Arial" w:hAnsi="Arial"/>
                <w:b/>
                <w:u w:val="single"/>
              </w:rPr>
            </w:pPr>
          </w:p>
        </w:tc>
        <w:tc>
          <w:tcPr>
            <w:tcW w:w="1276" w:type="dxa"/>
          </w:tcPr>
          <w:p w14:paraId="78FD0300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D1C0090" w14:textId="575B4B0B" w:rsid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Pr="00A21BE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https://corbettmaths.com/2013/11/17/exponential-graphs/</w:t>
              </w:r>
            </w:hyperlink>
          </w:p>
          <w:p w14:paraId="1D69042C" w14:textId="56F26BBC" w:rsidR="00442B65" w:rsidRPr="002F0512" w:rsidRDefault="00442B65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F0512" w:rsidRPr="00CC1E3F" w14:paraId="1B519FA5" w14:textId="77777777" w:rsidTr="002F0512">
        <w:trPr>
          <w:trHeight w:val="40"/>
        </w:trPr>
        <w:tc>
          <w:tcPr>
            <w:tcW w:w="4106" w:type="dxa"/>
          </w:tcPr>
          <w:p w14:paraId="0D041EEA" w14:textId="77777777" w:rsidR="002F0512" w:rsidRDefault="002F0512" w:rsidP="002F0512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  <w:u w:val="single"/>
              </w:rPr>
              <w:t>Revision of GCSE Material</w:t>
            </w:r>
          </w:p>
          <w:p w14:paraId="6F35F525" w14:textId="44D897D2" w:rsidR="002F0512" w:rsidRPr="002F0512" w:rsidRDefault="002F0512" w:rsidP="002F051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Prepare for Mock Exams</w:t>
            </w:r>
          </w:p>
        </w:tc>
        <w:tc>
          <w:tcPr>
            <w:tcW w:w="1276" w:type="dxa"/>
          </w:tcPr>
          <w:p w14:paraId="040A91E5" w14:textId="77777777" w:rsidR="002F0512" w:rsidRPr="002D6682" w:rsidRDefault="002F0512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827" w:type="dxa"/>
          </w:tcPr>
          <w:p w14:paraId="248B9EA3" w14:textId="77777777" w:rsidR="002F0512" w:rsidRPr="002F0512" w:rsidRDefault="002F0512" w:rsidP="004C3D2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B4DFF19" w14:textId="77777777" w:rsidR="000A1A13" w:rsidRPr="002F0512" w:rsidRDefault="000A1A13" w:rsidP="002F0512">
      <w:pPr>
        <w:rPr>
          <w:rFonts w:ascii="Comic Sans MS" w:hAnsi="Comic Sans MS"/>
          <w:sz w:val="24"/>
          <w:szCs w:val="24"/>
        </w:rPr>
      </w:pPr>
    </w:p>
    <w:sectPr w:rsidR="000A1A13" w:rsidRPr="002F0512" w:rsidSect="006C492D">
      <w:headerReference w:type="default" r:id="rId9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36B6" w14:textId="77777777" w:rsidR="00442B65" w:rsidRDefault="00442B65" w:rsidP="00201DFC">
      <w:pPr>
        <w:spacing w:after="0" w:line="240" w:lineRule="auto"/>
      </w:pPr>
      <w:r>
        <w:separator/>
      </w:r>
    </w:p>
  </w:endnote>
  <w:endnote w:type="continuationSeparator" w:id="0">
    <w:p w14:paraId="53475722" w14:textId="77777777" w:rsidR="00442B65" w:rsidRDefault="00442B65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0B1A" w14:textId="77777777" w:rsidR="00442B65" w:rsidRDefault="00442B65" w:rsidP="00201DFC">
      <w:pPr>
        <w:spacing w:after="0" w:line="240" w:lineRule="auto"/>
      </w:pPr>
      <w:r>
        <w:separator/>
      </w:r>
    </w:p>
  </w:footnote>
  <w:footnote w:type="continuationSeparator" w:id="0">
    <w:p w14:paraId="3206EEB0" w14:textId="77777777" w:rsidR="00442B65" w:rsidRDefault="00442B65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CE4C" w14:textId="78CEDA0C" w:rsidR="00442B65" w:rsidRDefault="00442B6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4AB3"/>
    <w:multiLevelType w:val="hybridMultilevel"/>
    <w:tmpl w:val="040E0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9BD"/>
    <w:multiLevelType w:val="hybridMultilevel"/>
    <w:tmpl w:val="66064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43346">
    <w:abstractNumId w:val="6"/>
  </w:num>
  <w:num w:numId="2" w16cid:durableId="1331330691">
    <w:abstractNumId w:val="4"/>
  </w:num>
  <w:num w:numId="3" w16cid:durableId="238373684">
    <w:abstractNumId w:val="0"/>
  </w:num>
  <w:num w:numId="4" w16cid:durableId="962736927">
    <w:abstractNumId w:val="1"/>
  </w:num>
  <w:num w:numId="5" w16cid:durableId="1370689766">
    <w:abstractNumId w:val="7"/>
  </w:num>
  <w:num w:numId="6" w16cid:durableId="67653583">
    <w:abstractNumId w:val="5"/>
  </w:num>
  <w:num w:numId="7" w16cid:durableId="1333413784">
    <w:abstractNumId w:val="2"/>
  </w:num>
  <w:num w:numId="8" w16cid:durableId="20712287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208C5"/>
    <w:rsid w:val="001A274B"/>
    <w:rsid w:val="001A2EF3"/>
    <w:rsid w:val="00201DFC"/>
    <w:rsid w:val="00245A45"/>
    <w:rsid w:val="00273522"/>
    <w:rsid w:val="002B267E"/>
    <w:rsid w:val="002B4AB2"/>
    <w:rsid w:val="002D6682"/>
    <w:rsid w:val="002D7FC9"/>
    <w:rsid w:val="002F0512"/>
    <w:rsid w:val="00302172"/>
    <w:rsid w:val="00346FA5"/>
    <w:rsid w:val="0035348A"/>
    <w:rsid w:val="00356E13"/>
    <w:rsid w:val="0038450A"/>
    <w:rsid w:val="003C6C4E"/>
    <w:rsid w:val="003D1173"/>
    <w:rsid w:val="003E053B"/>
    <w:rsid w:val="00426971"/>
    <w:rsid w:val="00442B65"/>
    <w:rsid w:val="00472DE2"/>
    <w:rsid w:val="00485979"/>
    <w:rsid w:val="0049390A"/>
    <w:rsid w:val="004968FE"/>
    <w:rsid w:val="004C3D23"/>
    <w:rsid w:val="004C408E"/>
    <w:rsid w:val="004F1B78"/>
    <w:rsid w:val="005514C1"/>
    <w:rsid w:val="005936D2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7F0AD1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C12E7"/>
    <w:rsid w:val="00B90880"/>
    <w:rsid w:val="00C176FB"/>
    <w:rsid w:val="00C91A4F"/>
    <w:rsid w:val="00C96870"/>
    <w:rsid w:val="00CC123E"/>
    <w:rsid w:val="00CC25CE"/>
    <w:rsid w:val="00D24E36"/>
    <w:rsid w:val="00DD0529"/>
    <w:rsid w:val="00E1165E"/>
    <w:rsid w:val="00E4425A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.com/2013/11/17/exponential-graph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mathsociety.org.uk/gcsefurthermath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945A1F91-22AC-4D87-8CC8-1BF1F048C254}"/>
</file>

<file path=customXml/itemProps2.xml><?xml version="1.0" encoding="utf-8"?>
<ds:datastoreItem xmlns:ds="http://schemas.openxmlformats.org/officeDocument/2006/customXml" ds:itemID="{B8E0DF1B-00A4-449F-8E91-2521A49195FA}"/>
</file>

<file path=customXml/itemProps3.xml><?xml version="1.0" encoding="utf-8"?>
<ds:datastoreItem xmlns:ds="http://schemas.openxmlformats.org/officeDocument/2006/customXml" ds:itemID="{1AC3895B-6D00-4701-94F2-BA1E5568DE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3</cp:revision>
  <cp:lastPrinted>2018-10-05T06:51:00Z</cp:lastPrinted>
  <dcterms:created xsi:type="dcterms:W3CDTF">2022-05-23T18:30:00Z</dcterms:created>
  <dcterms:modified xsi:type="dcterms:W3CDTF">2025-07-07T13:18:00Z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